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F2" w:rsidRDefault="00C735F2" w:rsidP="00C735F2">
      <w:pPr>
        <w:ind w:left="-710" w:firstLine="695"/>
        <w:rPr>
          <w:b/>
          <w:bCs/>
        </w:rPr>
      </w:pPr>
    </w:p>
    <w:p w:rsidR="00C735F2" w:rsidRDefault="00C735F2" w:rsidP="00C735F2">
      <w:pPr>
        <w:ind w:left="-710" w:firstLine="695"/>
      </w:pPr>
      <w:r>
        <w:rPr>
          <w:b/>
          <w:bCs/>
        </w:rPr>
        <w:t xml:space="preserve">Lancashire Enterprise Partnership Limited  </w:t>
      </w:r>
    </w:p>
    <w:p w:rsidR="00C735F2" w:rsidRPr="00BC4466" w:rsidRDefault="00C735F2" w:rsidP="00C735F2">
      <w:pPr>
        <w:spacing w:after="0" w:line="256" w:lineRule="auto"/>
        <w:ind w:left="0" w:firstLine="0"/>
        <w:rPr>
          <w:b/>
          <w:bCs/>
        </w:rPr>
      </w:pPr>
      <w:r w:rsidRPr="00BC4466">
        <w:rPr>
          <w:b/>
          <w:bCs/>
        </w:rPr>
        <w:t xml:space="preserve"> </w:t>
      </w:r>
    </w:p>
    <w:p w:rsidR="00C735F2" w:rsidRPr="00BC4466" w:rsidRDefault="00C735F2" w:rsidP="00C735F2">
      <w:pPr>
        <w:spacing w:after="0" w:line="256" w:lineRule="auto"/>
        <w:ind w:left="0" w:firstLine="0"/>
        <w:rPr>
          <w:b/>
          <w:bCs/>
        </w:rPr>
      </w:pPr>
      <w:r w:rsidRPr="00BC4466">
        <w:rPr>
          <w:b/>
        </w:rPr>
        <w:t xml:space="preserve">Private and Confidential: </w:t>
      </w:r>
      <w:r>
        <w:rPr>
          <w:b/>
        </w:rPr>
        <w:t>No</w:t>
      </w:r>
    </w:p>
    <w:p w:rsidR="00C735F2" w:rsidRDefault="00C735F2" w:rsidP="00C735F2">
      <w:pPr>
        <w:spacing w:after="0" w:line="256" w:lineRule="auto"/>
        <w:ind w:left="0" w:firstLine="0"/>
      </w:pPr>
    </w:p>
    <w:p w:rsidR="00C735F2" w:rsidRDefault="00765180" w:rsidP="00C735F2">
      <w:fldSimple w:instr=" DOCPROPERTY  MeetingDate  \* MERGEFORMAT ">
        <w:r w:rsidR="00C735F2">
          <w:t>Tuesday, 28 March 2017</w:t>
        </w:r>
      </w:fldSimple>
    </w:p>
    <w:p w:rsidR="00C735F2" w:rsidRDefault="00C735F2" w:rsidP="00C735F2"/>
    <w:p w:rsidR="00C735F2" w:rsidRDefault="00C735F2" w:rsidP="00C735F2">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Key Initiatives Update</w:t>
      </w:r>
      <w:r>
        <w:rPr>
          <w:rFonts w:eastAsia="Times New Roman" w:cs="Times New Roman"/>
          <w:b/>
          <w:color w:val="auto"/>
          <w:szCs w:val="20"/>
        </w:rPr>
        <w:fldChar w:fldCharType="end"/>
      </w:r>
    </w:p>
    <w:p w:rsidR="00C735F2" w:rsidRDefault="00C735F2" w:rsidP="00C735F2">
      <w:pPr>
        <w:ind w:left="0" w:firstLine="0"/>
      </w:pPr>
    </w:p>
    <w:p w:rsidR="00C735F2" w:rsidRPr="00F41096" w:rsidRDefault="00C735F2" w:rsidP="00C735F2">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C735F2" w:rsidRPr="00F41096" w:rsidRDefault="00C735F2" w:rsidP="00C735F2">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C735F2" w:rsidRDefault="00C735F2" w:rsidP="00C735F2">
      <w:pPr>
        <w:spacing w:after="0" w:line="256" w:lineRule="auto"/>
        <w:ind w:left="0" w:firstLine="0"/>
        <w:rPr>
          <w:b/>
          <w:bCs/>
        </w:rPr>
      </w:pPr>
      <w:r>
        <w:rPr>
          <w:b/>
          <w:bCs/>
        </w:rPr>
        <w:t xml:space="preserve"> </w:t>
      </w:r>
    </w:p>
    <w:p w:rsidR="00C735F2" w:rsidRDefault="00C735F2" w:rsidP="00C735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2779" w:rsidTr="00C735F2">
        <w:tc>
          <w:tcPr>
            <w:tcW w:w="9180" w:type="dxa"/>
          </w:tcPr>
          <w:p w:rsidR="00C735F2" w:rsidRDefault="00C735F2" w:rsidP="00C735F2">
            <w:pPr>
              <w:pStyle w:val="Header"/>
            </w:pPr>
          </w:p>
          <w:p w:rsidR="00C735F2" w:rsidRPr="00F95C8B" w:rsidRDefault="00C735F2" w:rsidP="00C735F2">
            <w:pPr>
              <w:pStyle w:val="Heading6"/>
              <w:rPr>
                <w:rFonts w:ascii="Arial" w:hAnsi="Arial"/>
                <w:b/>
                <w:color w:val="auto"/>
              </w:rPr>
            </w:pPr>
            <w:r w:rsidRPr="00F95C8B">
              <w:rPr>
                <w:rFonts w:ascii="Arial" w:hAnsi="Arial"/>
                <w:b/>
                <w:color w:val="auto"/>
              </w:rPr>
              <w:t>Executive Summary</w:t>
            </w:r>
          </w:p>
          <w:p w:rsidR="00C735F2" w:rsidRPr="00F95C8B" w:rsidRDefault="00C735F2" w:rsidP="00C735F2">
            <w:pPr>
              <w:rPr>
                <w:color w:val="auto"/>
              </w:rPr>
            </w:pPr>
          </w:p>
          <w:p w:rsidR="00C735F2" w:rsidRDefault="00C735F2" w:rsidP="00C735F2">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This report captures activity and progress made in delivering the LEP's key</w:t>
            </w:r>
          </w:p>
          <w:p w:rsidR="00C735F2" w:rsidRDefault="00C735F2" w:rsidP="00C735F2">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initiatives; City Deal Programme, Growth Deal Programme, Enterprise Zone</w:t>
            </w:r>
          </w:p>
          <w:p w:rsidR="00C735F2" w:rsidRDefault="00C735F2" w:rsidP="00C735F2">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Programme, Boost Business Growth Hub and Growing Places Investment Funding.</w:t>
            </w:r>
          </w:p>
          <w:p w:rsidR="00C735F2" w:rsidRDefault="00C735F2" w:rsidP="00C735F2">
            <w:pPr>
              <w:autoSpaceDE w:val="0"/>
              <w:autoSpaceDN w:val="0"/>
              <w:adjustRightInd w:val="0"/>
              <w:spacing w:after="0" w:line="240" w:lineRule="auto"/>
              <w:ind w:left="0" w:firstLine="0"/>
              <w:rPr>
                <w:rFonts w:ascii="ArialMT" w:eastAsiaTheme="minorHAnsi" w:hAnsi="ArialMT" w:cs="ArialMT"/>
                <w:color w:val="auto"/>
                <w:lang w:eastAsia="en-US"/>
              </w:rPr>
            </w:pPr>
          </w:p>
          <w:p w:rsidR="00C735F2" w:rsidRPr="00F95C8B" w:rsidRDefault="00C735F2" w:rsidP="00C735F2">
            <w:pPr>
              <w:autoSpaceDE w:val="0"/>
              <w:autoSpaceDN w:val="0"/>
              <w:adjustRightInd w:val="0"/>
              <w:spacing w:after="0" w:line="240" w:lineRule="auto"/>
              <w:ind w:left="0" w:firstLine="0"/>
              <w:rPr>
                <w:color w:val="auto"/>
              </w:rPr>
            </w:pPr>
            <w:r>
              <w:rPr>
                <w:rFonts w:ascii="ArialMT" w:eastAsiaTheme="minorHAnsi" w:hAnsi="ArialMT" w:cs="ArialMT"/>
                <w:color w:val="auto"/>
                <w:lang w:eastAsia="en-US"/>
              </w:rPr>
              <w:t>The report specifically identifies achievements, current challenges, future issues, financial and non-financial performance metrics, potential risks and any general observations relating to the initiatives identified above.</w:t>
            </w:r>
          </w:p>
          <w:p w:rsidR="00C735F2" w:rsidRDefault="00C735F2" w:rsidP="00C735F2">
            <w:pPr>
              <w:rPr>
                <w:color w:val="auto"/>
              </w:rPr>
            </w:pPr>
          </w:p>
          <w:p w:rsidR="002F7C5D" w:rsidRDefault="002F7C5D" w:rsidP="002F7C5D">
            <w:pPr>
              <w:ind w:left="0" w:firstLine="0"/>
              <w:rPr>
                <w:color w:val="auto"/>
              </w:rPr>
            </w:pPr>
            <w:r w:rsidRPr="002F7C5D">
              <w:rPr>
                <w:color w:val="auto"/>
              </w:rPr>
              <w:t>The Board is asked to note that a series of infographics which capture progress made in delivering the Key Performance Indicators (KPIs) for each of the LEP's Key Initiatives are currently being prepared in conjunction with the LEP's Business Plan for the period 2017 – 2020. The next report to the Board on this item will be presented using infographics.</w:t>
            </w:r>
          </w:p>
          <w:p w:rsidR="002F7C5D" w:rsidRPr="00F95C8B" w:rsidRDefault="002F7C5D" w:rsidP="002F7C5D">
            <w:pPr>
              <w:ind w:left="0" w:firstLine="0"/>
              <w:rPr>
                <w:color w:val="auto"/>
              </w:rPr>
            </w:pPr>
          </w:p>
          <w:p w:rsidR="00C735F2" w:rsidRPr="00F95C8B" w:rsidRDefault="00C735F2" w:rsidP="00C735F2">
            <w:pPr>
              <w:pStyle w:val="Heading5"/>
              <w:rPr>
                <w:rFonts w:ascii="Arial" w:hAnsi="Arial"/>
                <w:b/>
                <w:color w:val="auto"/>
              </w:rPr>
            </w:pPr>
            <w:r w:rsidRPr="00F95C8B">
              <w:rPr>
                <w:rFonts w:ascii="Arial" w:hAnsi="Arial"/>
                <w:b/>
                <w:color w:val="auto"/>
              </w:rPr>
              <w:t>Recommendation</w:t>
            </w:r>
          </w:p>
          <w:p w:rsidR="00C735F2" w:rsidRPr="00F95C8B" w:rsidRDefault="00C735F2" w:rsidP="00C735F2">
            <w:pPr>
              <w:rPr>
                <w:color w:val="auto"/>
              </w:rPr>
            </w:pPr>
          </w:p>
          <w:p w:rsidR="00C735F2" w:rsidRPr="00F95C8B" w:rsidRDefault="00C735F2" w:rsidP="00C735F2">
            <w:pPr>
              <w:autoSpaceDE w:val="0"/>
              <w:autoSpaceDN w:val="0"/>
              <w:adjustRightInd w:val="0"/>
              <w:spacing w:after="0" w:line="240" w:lineRule="auto"/>
              <w:ind w:left="0" w:firstLine="0"/>
              <w:rPr>
                <w:color w:val="auto"/>
              </w:rPr>
            </w:pPr>
            <w:r>
              <w:rPr>
                <w:rFonts w:ascii="ArialMT" w:eastAsiaTheme="minorHAnsi" w:hAnsi="ArialMT" w:cs="ArialMT"/>
                <w:color w:val="auto"/>
                <w:lang w:eastAsia="en-US"/>
              </w:rPr>
              <w:t>The LEP Board is asked to note and comment on the updates received</w:t>
            </w:r>
            <w:r w:rsidR="00CC61A7">
              <w:rPr>
                <w:rFonts w:ascii="ArialMT" w:eastAsiaTheme="minorHAnsi" w:hAnsi="ArialMT" w:cs="ArialMT"/>
                <w:color w:val="auto"/>
                <w:lang w:eastAsia="en-US"/>
              </w:rPr>
              <w:t xml:space="preserve"> on the progress of</w:t>
            </w:r>
            <w:r>
              <w:rPr>
                <w:rFonts w:ascii="ArialMT" w:eastAsiaTheme="minorHAnsi" w:hAnsi="ArialMT" w:cs="ArialMT"/>
                <w:color w:val="auto"/>
                <w:lang w:eastAsia="en-US"/>
              </w:rPr>
              <w:t xml:space="preserve"> each of the LEP's key initiatives.</w:t>
            </w:r>
            <w:r w:rsidRPr="00F95C8B">
              <w:rPr>
                <w:color w:val="auto"/>
              </w:rPr>
              <w:t xml:space="preserve"> </w:t>
            </w:r>
          </w:p>
          <w:p w:rsidR="00C735F2" w:rsidRDefault="00C735F2" w:rsidP="00C735F2"/>
        </w:tc>
      </w:tr>
    </w:tbl>
    <w:p w:rsidR="00C735F2" w:rsidRDefault="00C735F2" w:rsidP="00C735F2">
      <w:pPr>
        <w:spacing w:after="0" w:line="256" w:lineRule="auto"/>
        <w:ind w:left="0" w:firstLine="0"/>
      </w:pPr>
    </w:p>
    <w:p w:rsidR="00C735F2" w:rsidRDefault="00C735F2" w:rsidP="00C735F2">
      <w:pPr>
        <w:rPr>
          <w:b/>
        </w:rPr>
      </w:pPr>
      <w:r>
        <w:rPr>
          <w:b/>
        </w:rPr>
        <w:t xml:space="preserve">Background and Advice </w:t>
      </w:r>
    </w:p>
    <w:p w:rsidR="00C735F2" w:rsidRDefault="00C735F2" w:rsidP="00C735F2">
      <w:pPr>
        <w:rPr>
          <w:b/>
        </w:rPr>
      </w:pPr>
    </w:p>
    <w:p w:rsidR="00C735F2" w:rsidRDefault="00C735F2" w:rsidP="00C735F2">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This report captures activity and progress made in delivering the LEP's key initiatives, specifically</w:t>
      </w:r>
      <w:r w:rsidR="00CC61A7">
        <w:rPr>
          <w:rFonts w:ascii="ArialMT" w:eastAsiaTheme="minorHAnsi" w:hAnsi="ArialMT" w:cs="ArialMT"/>
          <w:color w:val="auto"/>
          <w:lang w:eastAsia="en-US"/>
        </w:rPr>
        <w:t xml:space="preserve"> the</w:t>
      </w:r>
      <w:r>
        <w:rPr>
          <w:rFonts w:ascii="ArialMT" w:eastAsiaTheme="minorHAnsi" w:hAnsi="ArialMT" w:cs="ArialMT"/>
          <w:color w:val="auto"/>
          <w:lang w:eastAsia="en-US"/>
        </w:rPr>
        <w:t xml:space="preserve"> City Deal Programme, Growth Deal Programme, Enterprise Zone Programme, Boost Business Growth Hub and Growing Places Investment</w:t>
      </w:r>
      <w:r w:rsidR="00CC61A7">
        <w:rPr>
          <w:rFonts w:ascii="ArialMT" w:eastAsiaTheme="minorHAnsi" w:hAnsi="ArialMT" w:cs="ArialMT"/>
          <w:color w:val="auto"/>
          <w:lang w:eastAsia="en-US"/>
        </w:rPr>
        <w:t xml:space="preserve"> </w:t>
      </w:r>
      <w:r>
        <w:rPr>
          <w:rFonts w:ascii="ArialMT" w:eastAsiaTheme="minorHAnsi" w:hAnsi="ArialMT" w:cs="ArialMT"/>
          <w:color w:val="auto"/>
          <w:lang w:eastAsia="en-US"/>
        </w:rPr>
        <w:t>Funding.</w:t>
      </w:r>
    </w:p>
    <w:p w:rsidR="00C735F2" w:rsidRDefault="00C735F2" w:rsidP="00C735F2">
      <w:pPr>
        <w:autoSpaceDE w:val="0"/>
        <w:autoSpaceDN w:val="0"/>
        <w:adjustRightInd w:val="0"/>
        <w:spacing w:after="0" w:line="240" w:lineRule="auto"/>
        <w:ind w:left="0" w:firstLine="0"/>
        <w:rPr>
          <w:rFonts w:ascii="ArialMT" w:eastAsiaTheme="minorHAnsi" w:hAnsi="ArialMT" w:cs="ArialMT"/>
          <w:color w:val="auto"/>
          <w:lang w:eastAsia="en-US"/>
        </w:rPr>
      </w:pPr>
    </w:p>
    <w:p w:rsidR="00C735F2" w:rsidRDefault="00CC61A7" w:rsidP="00C735F2">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The report captures the following information for each key initiative</w:t>
      </w:r>
      <w:r w:rsidR="00C735F2">
        <w:rPr>
          <w:rFonts w:ascii="ArialMT" w:eastAsiaTheme="minorHAnsi" w:hAnsi="ArialMT" w:cs="ArialMT"/>
          <w:color w:val="auto"/>
          <w:lang w:eastAsia="en-US"/>
        </w:rPr>
        <w:t>:</w:t>
      </w:r>
    </w:p>
    <w:p w:rsidR="00C735F2" w:rsidRDefault="00C735F2" w:rsidP="00C735F2">
      <w:pPr>
        <w:autoSpaceDE w:val="0"/>
        <w:autoSpaceDN w:val="0"/>
        <w:adjustRightInd w:val="0"/>
        <w:spacing w:after="0" w:line="240" w:lineRule="auto"/>
        <w:ind w:left="0" w:firstLine="0"/>
        <w:rPr>
          <w:rFonts w:ascii="ArialMT" w:eastAsiaTheme="minorHAnsi" w:hAnsi="ArialMT" w:cs="ArialMT"/>
          <w:color w:val="auto"/>
          <w:lang w:eastAsia="en-US"/>
        </w:rPr>
      </w:pPr>
    </w:p>
    <w:p w:rsidR="00C735F2" w:rsidRPr="00CC61A7" w:rsidRDefault="00C735F2" w:rsidP="00CC61A7">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CC61A7">
        <w:rPr>
          <w:rFonts w:ascii="ArialMT" w:eastAsiaTheme="minorHAnsi" w:hAnsi="ArialMT" w:cs="ArialMT"/>
          <w:color w:val="auto"/>
          <w:lang w:eastAsia="en-US"/>
        </w:rPr>
        <w:t>Achievements in the last three months;</w:t>
      </w:r>
    </w:p>
    <w:p w:rsidR="00C735F2" w:rsidRPr="00CC61A7" w:rsidRDefault="00C735F2" w:rsidP="00CC61A7">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CC61A7">
        <w:rPr>
          <w:rFonts w:ascii="ArialMT" w:eastAsiaTheme="minorHAnsi" w:hAnsi="ArialMT" w:cs="ArialMT"/>
          <w:color w:val="auto"/>
          <w:lang w:eastAsia="en-US"/>
        </w:rPr>
        <w:t>Current challenges;</w:t>
      </w:r>
    </w:p>
    <w:p w:rsidR="00C735F2" w:rsidRPr="00CC61A7" w:rsidRDefault="00C735F2" w:rsidP="00CC61A7">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CC61A7">
        <w:rPr>
          <w:rFonts w:ascii="ArialMT" w:eastAsiaTheme="minorHAnsi" w:hAnsi="ArialMT" w:cs="ArialMT"/>
          <w:color w:val="auto"/>
          <w:lang w:eastAsia="en-US"/>
        </w:rPr>
        <w:t>Future issues;</w:t>
      </w:r>
    </w:p>
    <w:p w:rsidR="00C735F2" w:rsidRPr="00CC61A7" w:rsidRDefault="00C735F2" w:rsidP="00CC61A7">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CC61A7">
        <w:rPr>
          <w:rFonts w:ascii="ArialMT" w:eastAsiaTheme="minorHAnsi" w:hAnsi="ArialMT" w:cs="ArialMT"/>
          <w:color w:val="auto"/>
          <w:lang w:eastAsia="en-US"/>
        </w:rPr>
        <w:lastRenderedPageBreak/>
        <w:t>Financial and non-financial KPIs including programme spend to date including other funding or resources leveraged, jobs created, commercial floorspace created and housing unit completions;</w:t>
      </w:r>
    </w:p>
    <w:p w:rsidR="00C735F2" w:rsidRPr="00CC61A7" w:rsidRDefault="00C735F2" w:rsidP="00CC61A7">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CC61A7">
        <w:rPr>
          <w:rFonts w:ascii="ArialMT" w:eastAsiaTheme="minorHAnsi" w:hAnsi="ArialMT" w:cs="ArialMT"/>
          <w:color w:val="auto"/>
          <w:lang w:eastAsia="en-US"/>
        </w:rPr>
        <w:t>Newly identified potential risks; and</w:t>
      </w:r>
    </w:p>
    <w:p w:rsidR="00C735F2" w:rsidRPr="00CC61A7" w:rsidRDefault="00C735F2" w:rsidP="00CC61A7">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CC61A7">
        <w:rPr>
          <w:rFonts w:ascii="ArialMT" w:eastAsiaTheme="minorHAnsi" w:hAnsi="ArialMT" w:cs="ArialMT"/>
          <w:color w:val="auto"/>
          <w:lang w:eastAsia="en-US"/>
        </w:rPr>
        <w:t>Other general observations.</w:t>
      </w:r>
    </w:p>
    <w:p w:rsidR="00C735F2" w:rsidRDefault="00C735F2" w:rsidP="00CC61A7">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CC61A7">
        <w:rPr>
          <w:rFonts w:ascii="ArialMT" w:eastAsiaTheme="minorHAnsi" w:hAnsi="ArialMT" w:cs="ArialMT"/>
          <w:color w:val="auto"/>
          <w:lang w:eastAsia="en-US"/>
        </w:rPr>
        <w:t>Programme updates are provided below for the Board's information.</w:t>
      </w:r>
    </w:p>
    <w:p w:rsidR="002F7C5D" w:rsidRPr="002F7C5D" w:rsidRDefault="002F7C5D" w:rsidP="002F7C5D">
      <w:pPr>
        <w:autoSpaceDE w:val="0"/>
        <w:autoSpaceDN w:val="0"/>
        <w:adjustRightInd w:val="0"/>
        <w:spacing w:after="0" w:line="240" w:lineRule="auto"/>
        <w:rPr>
          <w:rFonts w:ascii="ArialMT" w:eastAsiaTheme="minorHAnsi" w:hAnsi="ArialMT" w:cs="ArialMT"/>
          <w:color w:val="auto"/>
          <w:lang w:eastAsia="en-US"/>
        </w:rPr>
      </w:pPr>
    </w:p>
    <w:p w:rsidR="00C735F2" w:rsidRDefault="00C735F2">
      <w:pPr>
        <w:rPr>
          <w:b/>
        </w:rPr>
      </w:pPr>
      <w:r w:rsidRPr="009772B6">
        <w:rPr>
          <w:b/>
        </w:rPr>
        <w:t>City Deal Programme</w:t>
      </w:r>
    </w:p>
    <w:p w:rsidR="002F7C5D" w:rsidRDefault="002F7C5D">
      <w:pPr>
        <w:rPr>
          <w:b/>
        </w:rPr>
      </w:pPr>
    </w:p>
    <w:p w:rsidR="002F7C5D" w:rsidRDefault="002F7C5D" w:rsidP="002F7C5D">
      <w:pPr>
        <w:spacing w:line="259" w:lineRule="auto"/>
        <w:ind w:left="0" w:firstLine="0"/>
      </w:pPr>
      <w:r>
        <w:t>This note provides an update against the City Deal Year Three Quarter Three key performances reported to the board at its last meeting.  The end of year monitoring is now underway and will be reported to the board at its meeting in June and will include quantitative information against the City Deal metrics and qualitative information on all infrastructure projects and development sites.</w:t>
      </w:r>
    </w:p>
    <w:p w:rsidR="002F7C5D" w:rsidRDefault="002F7C5D" w:rsidP="002F7C5D">
      <w:pPr>
        <w:spacing w:line="259" w:lineRule="auto"/>
      </w:pPr>
    </w:p>
    <w:p w:rsidR="002F7C5D" w:rsidRPr="00AD4902" w:rsidRDefault="002F7C5D" w:rsidP="002F7C5D">
      <w:pPr>
        <w:spacing w:line="259" w:lineRule="auto"/>
        <w:rPr>
          <w:u w:val="single"/>
        </w:rPr>
      </w:pPr>
      <w:r w:rsidRPr="00AD4902">
        <w:rPr>
          <w:u w:val="single"/>
        </w:rPr>
        <w:t>Infrastructure Delivery</w:t>
      </w:r>
    </w:p>
    <w:p w:rsidR="002F7C5D" w:rsidRDefault="002F7C5D" w:rsidP="002F7C5D">
      <w:pPr>
        <w:spacing w:line="259" w:lineRule="auto"/>
        <w:rPr>
          <w:b/>
        </w:rPr>
      </w:pPr>
    </w:p>
    <w:p w:rsidR="002F7C5D" w:rsidRDefault="002F7C5D" w:rsidP="002F7C5D">
      <w:pPr>
        <w:spacing w:line="259" w:lineRule="auto"/>
        <w:ind w:left="0" w:firstLine="0"/>
      </w:pPr>
      <w:r>
        <w:t>Progress continues to be made with the delivery of critical infrastructure in the Business Plan, including:-</w:t>
      </w:r>
    </w:p>
    <w:p w:rsidR="002F7C5D" w:rsidRDefault="002F7C5D" w:rsidP="002F7C5D">
      <w:pPr>
        <w:spacing w:line="259" w:lineRule="auto"/>
      </w:pPr>
    </w:p>
    <w:p w:rsidR="002F7C5D" w:rsidRDefault="002F7C5D" w:rsidP="002F7C5D">
      <w:pPr>
        <w:pStyle w:val="ListParagraph"/>
        <w:numPr>
          <w:ilvl w:val="0"/>
          <w:numId w:val="7"/>
        </w:numPr>
        <w:spacing w:after="0" w:line="259" w:lineRule="auto"/>
      </w:pPr>
      <w:r>
        <w:t>Broughton Bypass - under construction and progressing as planned with completion expected in August 2017.</w:t>
      </w:r>
    </w:p>
    <w:p w:rsidR="002F7C5D" w:rsidRDefault="002F7C5D" w:rsidP="002F7C5D">
      <w:pPr>
        <w:pStyle w:val="ListParagraph"/>
        <w:numPr>
          <w:ilvl w:val="0"/>
          <w:numId w:val="7"/>
        </w:numPr>
        <w:spacing w:after="0" w:line="259" w:lineRule="auto"/>
      </w:pPr>
      <w:r>
        <w:t xml:space="preserve">Preston Western Distributor (PWD)   The planning application was submitted and is expected to be determined in Q1.  </w:t>
      </w:r>
    </w:p>
    <w:p w:rsidR="002F7C5D" w:rsidRDefault="002F7C5D" w:rsidP="002F7C5D">
      <w:pPr>
        <w:pStyle w:val="ListParagraph"/>
        <w:numPr>
          <w:ilvl w:val="0"/>
          <w:numId w:val="7"/>
        </w:numPr>
        <w:spacing w:after="0" w:line="259" w:lineRule="auto"/>
      </w:pPr>
      <w:r>
        <w:t>The East West Link Road (EWLR) – the planning application was submitted and is expected to be determined in Q1.</w:t>
      </w:r>
    </w:p>
    <w:p w:rsidR="002F7C5D" w:rsidRDefault="002F7C5D" w:rsidP="002F7C5D">
      <w:pPr>
        <w:pStyle w:val="ListParagraph"/>
        <w:numPr>
          <w:ilvl w:val="0"/>
          <w:numId w:val="7"/>
        </w:numPr>
        <w:spacing w:after="0" w:line="259" w:lineRule="auto"/>
      </w:pPr>
      <w:r>
        <w:t>Penwortham Bypass - planning application has been submitted with determination expected to be in Q1/Q2.</w:t>
      </w:r>
    </w:p>
    <w:p w:rsidR="002F7C5D" w:rsidRDefault="002F7C5D" w:rsidP="002F7C5D">
      <w:pPr>
        <w:pStyle w:val="ListParagraph"/>
        <w:numPr>
          <w:ilvl w:val="0"/>
          <w:numId w:val="7"/>
        </w:numPr>
        <w:spacing w:after="0" w:line="259" w:lineRule="auto"/>
      </w:pPr>
      <w:r>
        <w:t xml:space="preserve">A582 </w:t>
      </w:r>
      <w:proofErr w:type="spellStart"/>
      <w:r>
        <w:t>Dualling</w:t>
      </w:r>
      <w:proofErr w:type="spellEnd"/>
      <w:r>
        <w:t xml:space="preserve"> - planning application is due to be submitted but is subject to additional ecological survey work and a second public consultation being required.  An updated programme profile is being developed.</w:t>
      </w:r>
    </w:p>
    <w:p w:rsidR="002F7C5D" w:rsidRDefault="002F7C5D" w:rsidP="002F7C5D">
      <w:pPr>
        <w:pStyle w:val="ListParagraph"/>
        <w:numPr>
          <w:ilvl w:val="0"/>
          <w:numId w:val="7"/>
        </w:numPr>
        <w:spacing w:after="0" w:line="259" w:lineRule="auto"/>
      </w:pPr>
      <w:r>
        <w:t>Preston Bus Station - Works have commenced on the Car Park repairs and the design for the improved concourse and bus station has been finalised.  Planning applications for on-site highway works have been submitted.</w:t>
      </w:r>
    </w:p>
    <w:p w:rsidR="002F7C5D" w:rsidRDefault="002F7C5D" w:rsidP="002F7C5D">
      <w:pPr>
        <w:spacing w:line="259" w:lineRule="auto"/>
      </w:pPr>
    </w:p>
    <w:p w:rsidR="002F7C5D" w:rsidRPr="00AD4902" w:rsidRDefault="002F7C5D" w:rsidP="002F7C5D">
      <w:pPr>
        <w:spacing w:line="259" w:lineRule="auto"/>
        <w:rPr>
          <w:u w:val="single"/>
        </w:rPr>
      </w:pPr>
      <w:r w:rsidRPr="00AD4902">
        <w:rPr>
          <w:u w:val="single"/>
        </w:rPr>
        <w:t>Housing Delivery</w:t>
      </w:r>
    </w:p>
    <w:p w:rsidR="002F7C5D" w:rsidRDefault="002F7C5D" w:rsidP="002F7C5D">
      <w:pPr>
        <w:spacing w:line="259" w:lineRule="auto"/>
        <w:rPr>
          <w:b/>
        </w:rPr>
      </w:pPr>
    </w:p>
    <w:p w:rsidR="002F7C5D" w:rsidRDefault="002F7C5D" w:rsidP="002F7C5D">
      <w:pPr>
        <w:spacing w:line="259" w:lineRule="auto"/>
        <w:ind w:left="0" w:firstLine="0"/>
      </w:pPr>
      <w:r>
        <w:t>Progress continues to be made in terms of the development of key housing sites as follows:</w:t>
      </w:r>
    </w:p>
    <w:p w:rsidR="002F7C5D" w:rsidRDefault="002F7C5D" w:rsidP="002F7C5D">
      <w:pPr>
        <w:spacing w:line="259" w:lineRule="auto"/>
      </w:pPr>
    </w:p>
    <w:p w:rsidR="002F7C5D" w:rsidRPr="00EB16A6" w:rsidRDefault="002F7C5D" w:rsidP="002F7C5D">
      <w:pPr>
        <w:pStyle w:val="ListParagraph"/>
        <w:numPr>
          <w:ilvl w:val="0"/>
          <w:numId w:val="9"/>
        </w:numPr>
        <w:spacing w:after="0" w:line="259" w:lineRule="auto"/>
        <w:rPr>
          <w:color w:val="auto"/>
        </w:rPr>
      </w:pPr>
      <w:r>
        <w:t xml:space="preserve">Moss Side Test track in Leyland </w:t>
      </w:r>
      <w:r w:rsidRPr="00EB16A6">
        <w:rPr>
          <w:color w:val="auto"/>
        </w:rPr>
        <w:t>- following the consultation on the Master Plan a revised Master Plan is being considered by SRBC Planning Committee on 22</w:t>
      </w:r>
      <w:r w:rsidRPr="00EB16A6">
        <w:rPr>
          <w:color w:val="auto"/>
          <w:vertAlign w:val="superscript"/>
        </w:rPr>
        <w:t>nd</w:t>
      </w:r>
      <w:r w:rsidRPr="00EB16A6">
        <w:rPr>
          <w:color w:val="auto"/>
        </w:rPr>
        <w:t xml:space="preserve"> March</w:t>
      </w:r>
      <w:r>
        <w:rPr>
          <w:color w:val="auto"/>
        </w:rPr>
        <w:t>.</w:t>
      </w:r>
      <w:r w:rsidRPr="00EB16A6">
        <w:rPr>
          <w:color w:val="auto"/>
        </w:rPr>
        <w:t xml:space="preserve">  It is anticipated that construction could start as early as the end of 2017/early 2018.</w:t>
      </w:r>
    </w:p>
    <w:p w:rsidR="002F7C5D" w:rsidRDefault="002F7C5D" w:rsidP="002F7C5D">
      <w:pPr>
        <w:pStyle w:val="ListParagraph"/>
        <w:numPr>
          <w:ilvl w:val="0"/>
          <w:numId w:val="9"/>
        </w:numPr>
        <w:spacing w:after="0" w:line="259" w:lineRule="auto"/>
      </w:pPr>
      <w:r>
        <w:t>Pickering's Farm - Officers continue to work with principal landowners and developers, Taylor Wimpey and HCA, to move this site forward, initially through the development of a site masterplan.</w:t>
      </w:r>
    </w:p>
    <w:p w:rsidR="002F7C5D" w:rsidRDefault="002F7C5D" w:rsidP="002F7C5D">
      <w:pPr>
        <w:pStyle w:val="ListParagraph"/>
        <w:numPr>
          <w:ilvl w:val="0"/>
          <w:numId w:val="9"/>
        </w:numPr>
        <w:spacing w:after="0" w:line="259" w:lineRule="auto"/>
      </w:pPr>
      <w:r>
        <w:lastRenderedPageBreak/>
        <w:t xml:space="preserve">North West Preston - build out rates on this site are continuing positively which suggests a more confident outlook for sales going forward. </w:t>
      </w:r>
    </w:p>
    <w:p w:rsidR="002F7C5D" w:rsidRDefault="002F7C5D" w:rsidP="002F7C5D">
      <w:pPr>
        <w:pStyle w:val="ListParagraph"/>
        <w:numPr>
          <w:ilvl w:val="0"/>
          <w:numId w:val="9"/>
        </w:numPr>
        <w:spacing w:after="0" w:line="259" w:lineRule="auto"/>
      </w:pPr>
      <w:r>
        <w:t>Government announced in January 2017 that the City Deal is amongst the first wave of 30 local authority partnerships – selected on the basis of their potential for early delivery – to be successful in securing Starter Homes fund, working in partnership with the HCA to bring forward land for Starter Homes capable for build out by private developers by 2020, taking advantage of the various Help to Buy products.</w:t>
      </w:r>
    </w:p>
    <w:p w:rsidR="002F7C5D" w:rsidRDefault="002F7C5D" w:rsidP="002F7C5D">
      <w:pPr>
        <w:pStyle w:val="ListParagraph"/>
        <w:numPr>
          <w:ilvl w:val="0"/>
          <w:numId w:val="9"/>
        </w:numPr>
        <w:spacing w:after="0" w:line="259" w:lineRule="auto"/>
      </w:pPr>
      <w:r>
        <w:t>Over 600 Starter Homes will be developed on sites with a total housing unit build of c1, 200.</w:t>
      </w:r>
    </w:p>
    <w:p w:rsidR="002F7C5D" w:rsidRDefault="002F7C5D" w:rsidP="002F7C5D">
      <w:pPr>
        <w:pStyle w:val="ListParagraph"/>
        <w:numPr>
          <w:ilvl w:val="0"/>
          <w:numId w:val="9"/>
        </w:numPr>
        <w:spacing w:after="0" w:line="259" w:lineRule="auto"/>
      </w:pPr>
      <w:r>
        <w:t>City Deal Bid submitted for HCA Large Sites and Housing Zone Capacity Funding to enable more robust development management arrangements to be introduced, providing enhanced pre-planning, planning, post planning and construction support and expertise.</w:t>
      </w:r>
    </w:p>
    <w:p w:rsidR="002F7C5D" w:rsidRDefault="002F7C5D" w:rsidP="002F7C5D">
      <w:pPr>
        <w:spacing w:line="259" w:lineRule="auto"/>
        <w:rPr>
          <w:b/>
        </w:rPr>
      </w:pPr>
    </w:p>
    <w:p w:rsidR="002F7C5D" w:rsidRPr="00AD4902" w:rsidRDefault="002F7C5D" w:rsidP="002F7C5D">
      <w:pPr>
        <w:spacing w:line="259" w:lineRule="auto"/>
        <w:rPr>
          <w:u w:val="single"/>
        </w:rPr>
      </w:pPr>
      <w:r w:rsidRPr="00AD4902">
        <w:rPr>
          <w:u w:val="single"/>
        </w:rPr>
        <w:t>Commercial Delivery</w:t>
      </w:r>
    </w:p>
    <w:p w:rsidR="002F7C5D" w:rsidRDefault="002F7C5D" w:rsidP="002F7C5D">
      <w:pPr>
        <w:spacing w:line="259" w:lineRule="auto"/>
        <w:rPr>
          <w:b/>
        </w:rPr>
      </w:pPr>
    </w:p>
    <w:p w:rsidR="002F7C5D" w:rsidRDefault="002F7C5D" w:rsidP="002F7C5D">
      <w:pPr>
        <w:pStyle w:val="ListParagraph"/>
        <w:numPr>
          <w:ilvl w:val="0"/>
          <w:numId w:val="8"/>
        </w:numPr>
        <w:spacing w:after="0" w:line="259" w:lineRule="auto"/>
      </w:pPr>
      <w:r>
        <w:t xml:space="preserve">The </w:t>
      </w:r>
      <w:proofErr w:type="spellStart"/>
      <w:r>
        <w:t>Samlesbury</w:t>
      </w:r>
      <w:proofErr w:type="spellEnd"/>
      <w:r>
        <w:t xml:space="preserve"> Aerospace Enterprise Zone has seen completion of the new logistics centre and training facility.</w:t>
      </w:r>
    </w:p>
    <w:p w:rsidR="002F7C5D" w:rsidRDefault="002F7C5D" w:rsidP="002F7C5D">
      <w:pPr>
        <w:pStyle w:val="ListParagraph"/>
        <w:numPr>
          <w:ilvl w:val="0"/>
          <w:numId w:val="8"/>
        </w:numPr>
        <w:spacing w:after="0" w:line="259" w:lineRule="auto"/>
      </w:pPr>
      <w:r>
        <w:t xml:space="preserve">Consultation undertaken on </w:t>
      </w:r>
      <w:proofErr w:type="spellStart"/>
      <w:r>
        <w:t>Cuerden</w:t>
      </w:r>
      <w:proofErr w:type="spellEnd"/>
      <w:r>
        <w:t xml:space="preserve"> development proposals - a planning application has now been submitted.</w:t>
      </w:r>
    </w:p>
    <w:p w:rsidR="002F7C5D" w:rsidRDefault="002F7C5D" w:rsidP="002F7C5D">
      <w:pPr>
        <w:spacing w:line="259" w:lineRule="auto"/>
        <w:rPr>
          <w:b/>
        </w:rPr>
      </w:pPr>
      <w:r>
        <w:rPr>
          <w:b/>
        </w:rPr>
        <w:t xml:space="preserve"> </w:t>
      </w:r>
    </w:p>
    <w:p w:rsidR="002F7C5D" w:rsidRPr="00AD4902" w:rsidRDefault="002F7C5D" w:rsidP="002F7C5D">
      <w:pPr>
        <w:spacing w:line="259" w:lineRule="auto"/>
        <w:rPr>
          <w:u w:val="single"/>
        </w:rPr>
      </w:pPr>
      <w:r w:rsidRPr="00AD4902">
        <w:rPr>
          <w:u w:val="single"/>
        </w:rPr>
        <w:t>Current challenges</w:t>
      </w:r>
    </w:p>
    <w:p w:rsidR="002F7C5D" w:rsidRDefault="002F7C5D" w:rsidP="002F7C5D">
      <w:pPr>
        <w:spacing w:line="259" w:lineRule="auto"/>
      </w:pPr>
    </w:p>
    <w:p w:rsidR="002F7C5D" w:rsidRDefault="002F7C5D" w:rsidP="002F7C5D">
      <w:pPr>
        <w:spacing w:line="259" w:lineRule="auto"/>
        <w:ind w:left="0" w:firstLine="0"/>
      </w:pPr>
      <w:r>
        <w:t>Whilst progress on outputs presented previously has been strong, targets for future years will accelerate, and therefore delivery progress on employment and housing sites must be maintained.</w:t>
      </w:r>
    </w:p>
    <w:p w:rsidR="002F7C5D" w:rsidRDefault="002F7C5D" w:rsidP="002F7C5D">
      <w:pPr>
        <w:spacing w:line="259" w:lineRule="auto"/>
        <w:ind w:left="0" w:firstLine="0"/>
      </w:pPr>
    </w:p>
    <w:p w:rsidR="002F7C5D" w:rsidRDefault="002F7C5D" w:rsidP="002F7C5D">
      <w:pPr>
        <w:spacing w:line="259" w:lineRule="auto"/>
        <w:ind w:left="0" w:firstLine="0"/>
      </w:pPr>
      <w:r>
        <w:t>The following represent the major current challenges that are being monitored and dealt with through a Risk Management programme;</w:t>
      </w:r>
    </w:p>
    <w:p w:rsidR="002F7C5D" w:rsidRDefault="002F7C5D" w:rsidP="002F7C5D">
      <w:pPr>
        <w:spacing w:line="259" w:lineRule="auto"/>
      </w:pPr>
    </w:p>
    <w:p w:rsidR="002F7C5D" w:rsidRPr="00AD4902" w:rsidRDefault="002F7C5D" w:rsidP="002F7C5D">
      <w:pPr>
        <w:spacing w:line="259" w:lineRule="auto"/>
        <w:rPr>
          <w:i/>
        </w:rPr>
      </w:pPr>
      <w:r w:rsidRPr="00AD4902">
        <w:rPr>
          <w:i/>
        </w:rPr>
        <w:t>Infrastructure</w:t>
      </w:r>
    </w:p>
    <w:p w:rsidR="002F7C5D" w:rsidRDefault="002F7C5D" w:rsidP="002F7C5D">
      <w:pPr>
        <w:pStyle w:val="ListParagraph"/>
        <w:numPr>
          <w:ilvl w:val="0"/>
          <w:numId w:val="6"/>
        </w:numPr>
        <w:spacing w:after="0" w:line="259" w:lineRule="auto"/>
      </w:pPr>
      <w:r>
        <w:t>As schemes are progressing through the design stages more certainty is now being gained on costs and in some cases funding pressures are emerging.  Mitigating action is being taken to value engineer and prioritise schemes within the business plan as well as identifying additional funding sources where necessary.</w:t>
      </w:r>
    </w:p>
    <w:p w:rsidR="002F7C5D" w:rsidRDefault="002F7C5D" w:rsidP="002F7C5D">
      <w:pPr>
        <w:spacing w:line="259" w:lineRule="auto"/>
      </w:pPr>
    </w:p>
    <w:p w:rsidR="002F7C5D" w:rsidRPr="00AD4902" w:rsidRDefault="002F7C5D" w:rsidP="002F7C5D">
      <w:pPr>
        <w:spacing w:line="259" w:lineRule="auto"/>
        <w:rPr>
          <w:i/>
        </w:rPr>
      </w:pPr>
      <w:r w:rsidRPr="00AD4902">
        <w:rPr>
          <w:i/>
        </w:rPr>
        <w:t xml:space="preserve">Housing </w:t>
      </w:r>
    </w:p>
    <w:p w:rsidR="002F7C5D" w:rsidRDefault="002F7C5D" w:rsidP="002F7C5D">
      <w:pPr>
        <w:pStyle w:val="ListParagraph"/>
        <w:numPr>
          <w:ilvl w:val="0"/>
          <w:numId w:val="4"/>
        </w:numPr>
        <w:spacing w:after="0" w:line="259" w:lineRule="auto"/>
      </w:pPr>
      <w:r>
        <w:t xml:space="preserve">Some house-builders are building out at a slower rate than anticipated on some sites. </w:t>
      </w:r>
    </w:p>
    <w:p w:rsidR="002F7C5D" w:rsidRDefault="002F7C5D" w:rsidP="002F7C5D">
      <w:pPr>
        <w:pStyle w:val="ListParagraph"/>
        <w:numPr>
          <w:ilvl w:val="0"/>
          <w:numId w:val="4"/>
        </w:numPr>
        <w:spacing w:after="0" w:line="259" w:lineRule="auto"/>
      </w:pPr>
      <w:r>
        <w:t xml:space="preserve">Some developers and house-builders continue to monitor the impact of Community Infrastructure Levy payments on viability. </w:t>
      </w:r>
    </w:p>
    <w:p w:rsidR="002F7C5D" w:rsidRDefault="002F7C5D" w:rsidP="002F7C5D">
      <w:pPr>
        <w:pStyle w:val="ListParagraph"/>
        <w:spacing w:line="259" w:lineRule="auto"/>
      </w:pPr>
    </w:p>
    <w:p w:rsidR="002F7C5D" w:rsidRDefault="002F7C5D" w:rsidP="002F7C5D">
      <w:pPr>
        <w:pStyle w:val="ListParagraph"/>
        <w:spacing w:line="259" w:lineRule="auto"/>
      </w:pPr>
    </w:p>
    <w:p w:rsidR="002F7C5D" w:rsidRDefault="002F7C5D" w:rsidP="002F7C5D">
      <w:pPr>
        <w:pStyle w:val="ListParagraph"/>
        <w:spacing w:line="259" w:lineRule="auto"/>
      </w:pPr>
    </w:p>
    <w:p w:rsidR="002F7C5D" w:rsidRPr="00AD4902" w:rsidRDefault="002F7C5D" w:rsidP="002F7C5D">
      <w:pPr>
        <w:pStyle w:val="ListParagraph"/>
        <w:spacing w:line="259" w:lineRule="auto"/>
        <w:ind w:left="0" w:firstLine="0"/>
        <w:rPr>
          <w:i/>
        </w:rPr>
      </w:pPr>
      <w:r w:rsidRPr="00AD4902">
        <w:rPr>
          <w:i/>
        </w:rPr>
        <w:lastRenderedPageBreak/>
        <w:t xml:space="preserve">Commercial </w:t>
      </w:r>
    </w:p>
    <w:p w:rsidR="002F7C5D" w:rsidRDefault="002F7C5D" w:rsidP="002F7C5D">
      <w:pPr>
        <w:pStyle w:val="ListParagraph"/>
        <w:numPr>
          <w:ilvl w:val="0"/>
          <w:numId w:val="4"/>
        </w:numPr>
        <w:spacing w:after="0" w:line="259" w:lineRule="auto"/>
      </w:pPr>
      <w:r>
        <w:t xml:space="preserve">Office (anchor tenant) demand and viability issues have led to a revision of some City Centre development timescales. </w:t>
      </w:r>
    </w:p>
    <w:p w:rsidR="002F7C5D" w:rsidRDefault="002F7C5D" w:rsidP="002F7C5D">
      <w:pPr>
        <w:pStyle w:val="ListParagraph"/>
        <w:numPr>
          <w:ilvl w:val="0"/>
          <w:numId w:val="4"/>
        </w:numPr>
        <w:spacing w:after="0" w:line="259" w:lineRule="auto"/>
      </w:pPr>
      <w:r>
        <w:t xml:space="preserve">Delivery of commercial floor-space connected to complex mixed-use sites is delaying some site development.  </w:t>
      </w:r>
    </w:p>
    <w:p w:rsidR="002F7C5D" w:rsidRDefault="002F7C5D" w:rsidP="002F7C5D">
      <w:pPr>
        <w:spacing w:line="259" w:lineRule="auto"/>
      </w:pPr>
    </w:p>
    <w:p w:rsidR="002F7C5D" w:rsidRDefault="002F7C5D" w:rsidP="002F7C5D">
      <w:pPr>
        <w:spacing w:line="259" w:lineRule="auto"/>
        <w:rPr>
          <w:b/>
        </w:rPr>
      </w:pPr>
      <w:r>
        <w:rPr>
          <w:b/>
        </w:rPr>
        <w:t>Future issues</w:t>
      </w:r>
    </w:p>
    <w:p w:rsidR="002F7C5D" w:rsidRDefault="002F7C5D" w:rsidP="002F7C5D">
      <w:pPr>
        <w:spacing w:line="259" w:lineRule="auto"/>
      </w:pPr>
    </w:p>
    <w:p w:rsidR="002F7C5D" w:rsidRDefault="002F7C5D" w:rsidP="002F7C5D">
      <w:pPr>
        <w:spacing w:line="259" w:lineRule="auto"/>
        <w:ind w:left="0" w:firstLine="0"/>
      </w:pPr>
      <w:r>
        <w:t xml:space="preserve">At a national level, potential changes to New Homes Bonus, Business Rates and the Community Infrastructure Levy all have the potential to significantly impact the deliverability of the programme.  </w:t>
      </w:r>
    </w:p>
    <w:p w:rsidR="002F7C5D" w:rsidRDefault="002F7C5D" w:rsidP="002F7C5D">
      <w:pPr>
        <w:spacing w:line="259" w:lineRule="auto"/>
        <w:ind w:left="0" w:firstLine="0"/>
      </w:pPr>
    </w:p>
    <w:p w:rsidR="002F7C5D" w:rsidRDefault="002F7C5D" w:rsidP="002F7C5D">
      <w:pPr>
        <w:spacing w:line="259" w:lineRule="auto"/>
        <w:ind w:left="0" w:firstLine="0"/>
      </w:pPr>
      <w:r>
        <w:t xml:space="preserve">The City Deal Executive &amp; Stewardship Board have commissioned a Resources Review in order to understand and prepare for the potential impact and to inform future discussions with Government.  The Chair of the Executive attended the LEP's Performance Committee in September and a programme of work to provide assurance on; 1) keeping pace with the programme milestones, 2) value for money and 3) social value, is under way, with the final report being taken to the City Deal Executive in June 2017. </w:t>
      </w:r>
    </w:p>
    <w:p w:rsidR="002F7C5D" w:rsidRDefault="002F7C5D" w:rsidP="002F7C5D">
      <w:pPr>
        <w:spacing w:line="259" w:lineRule="auto"/>
        <w:ind w:left="0" w:firstLine="0"/>
        <w:rPr>
          <w:b/>
        </w:rPr>
      </w:pPr>
    </w:p>
    <w:p w:rsidR="002F7C5D" w:rsidRDefault="002F7C5D" w:rsidP="002F7C5D">
      <w:pPr>
        <w:spacing w:line="259" w:lineRule="auto"/>
        <w:ind w:left="0" w:firstLine="0"/>
      </w:pPr>
      <w:r>
        <w:t xml:space="preserve">At a local level, in the medium to long-term, the following issues may require particular interventions to help mitigate/resolve; </w:t>
      </w:r>
    </w:p>
    <w:p w:rsidR="002F7C5D" w:rsidRDefault="002F7C5D" w:rsidP="002F7C5D">
      <w:pPr>
        <w:spacing w:line="259" w:lineRule="auto"/>
      </w:pPr>
    </w:p>
    <w:p w:rsidR="002F7C5D" w:rsidRPr="00AD4902" w:rsidRDefault="002F7C5D" w:rsidP="002F7C5D">
      <w:pPr>
        <w:spacing w:line="259" w:lineRule="auto"/>
        <w:rPr>
          <w:i/>
        </w:rPr>
      </w:pPr>
      <w:r w:rsidRPr="00AD4902">
        <w:rPr>
          <w:i/>
        </w:rPr>
        <w:t xml:space="preserve">Housing </w:t>
      </w:r>
    </w:p>
    <w:p w:rsidR="002F7C5D" w:rsidRDefault="002F7C5D" w:rsidP="002F7C5D">
      <w:pPr>
        <w:pStyle w:val="ListParagraph"/>
        <w:numPr>
          <w:ilvl w:val="0"/>
          <w:numId w:val="4"/>
        </w:numPr>
        <w:spacing w:after="0" w:line="259" w:lineRule="auto"/>
      </w:pPr>
      <w:r>
        <w:t>There are a number of large sites that have complex site specific technical issues that require overcoming.</w:t>
      </w:r>
    </w:p>
    <w:p w:rsidR="002F7C5D" w:rsidRDefault="002F7C5D" w:rsidP="002F7C5D">
      <w:pPr>
        <w:pStyle w:val="ListParagraph"/>
        <w:numPr>
          <w:ilvl w:val="0"/>
          <w:numId w:val="4"/>
        </w:numPr>
        <w:spacing w:after="0" w:line="259" w:lineRule="auto"/>
      </w:pPr>
      <w:r>
        <w:t xml:space="preserve">Uncertainty brought about by Brexit may dampen developer activity/consumer demand.     </w:t>
      </w:r>
    </w:p>
    <w:p w:rsidR="002F7C5D" w:rsidRDefault="002F7C5D" w:rsidP="002F7C5D">
      <w:pPr>
        <w:pStyle w:val="ListParagraph"/>
        <w:numPr>
          <w:ilvl w:val="0"/>
          <w:numId w:val="4"/>
        </w:numPr>
        <w:spacing w:after="0" w:line="259" w:lineRule="auto"/>
      </w:pPr>
      <w:r>
        <w:t xml:space="preserve">Labour and materials shortages may lead to developer competition for resources and slow build out rates. </w:t>
      </w:r>
    </w:p>
    <w:p w:rsidR="002F7C5D" w:rsidRDefault="002F7C5D" w:rsidP="002F7C5D">
      <w:pPr>
        <w:spacing w:line="259" w:lineRule="auto"/>
      </w:pPr>
    </w:p>
    <w:p w:rsidR="002F7C5D" w:rsidRPr="00AD4902" w:rsidRDefault="002F7C5D" w:rsidP="002F7C5D">
      <w:pPr>
        <w:spacing w:line="259" w:lineRule="auto"/>
        <w:rPr>
          <w:i/>
        </w:rPr>
      </w:pPr>
      <w:r w:rsidRPr="00AD4902">
        <w:rPr>
          <w:i/>
        </w:rPr>
        <w:t xml:space="preserve">Commercial </w:t>
      </w:r>
    </w:p>
    <w:p w:rsidR="002F7C5D" w:rsidRDefault="002F7C5D" w:rsidP="002F7C5D">
      <w:pPr>
        <w:pStyle w:val="ListParagraph"/>
        <w:numPr>
          <w:ilvl w:val="0"/>
          <w:numId w:val="4"/>
        </w:numPr>
        <w:spacing w:after="0" w:line="259" w:lineRule="auto"/>
      </w:pPr>
      <w:r>
        <w:t xml:space="preserve">Uncertainty brought about by Brexit may dampen developer activity/consumer demand.     </w:t>
      </w:r>
    </w:p>
    <w:p w:rsidR="002F7C5D" w:rsidRDefault="002F7C5D" w:rsidP="002F7C5D">
      <w:pPr>
        <w:pStyle w:val="ListParagraph"/>
        <w:numPr>
          <w:ilvl w:val="0"/>
          <w:numId w:val="5"/>
        </w:numPr>
        <w:spacing w:after="0" w:line="259" w:lineRule="auto"/>
      </w:pPr>
      <w:r>
        <w:t xml:space="preserve">Competing demand for residential uses in City Centre sites may squeeze out some commercial uses.    </w:t>
      </w:r>
    </w:p>
    <w:p w:rsidR="00C735F2" w:rsidRPr="00A250E5" w:rsidRDefault="00C735F2" w:rsidP="00C735F2">
      <w:pPr>
        <w:spacing w:after="0" w:line="240" w:lineRule="auto"/>
        <w:ind w:left="0" w:firstLine="0"/>
        <w:rPr>
          <w:rFonts w:eastAsiaTheme="minorHAnsi"/>
          <w:color w:val="auto"/>
          <w:u w:val="single"/>
          <w:lang w:eastAsia="en-US"/>
        </w:rPr>
      </w:pPr>
    </w:p>
    <w:p w:rsidR="00C735F2" w:rsidRPr="008E009D" w:rsidRDefault="00C735F2">
      <w:pPr>
        <w:rPr>
          <w:b/>
        </w:rPr>
      </w:pPr>
      <w:r w:rsidRPr="008E009D">
        <w:rPr>
          <w:b/>
        </w:rPr>
        <w:t>Growth Deal Programme</w:t>
      </w:r>
    </w:p>
    <w:p w:rsidR="00C735F2" w:rsidRDefault="00C735F2">
      <w:pPr>
        <w:rPr>
          <w:b/>
        </w:rPr>
      </w:pPr>
    </w:p>
    <w:p w:rsidR="00C735F2" w:rsidRPr="008E009D" w:rsidRDefault="00C735F2" w:rsidP="000643FA">
      <w:pPr>
        <w:spacing w:after="0" w:line="240" w:lineRule="auto"/>
        <w:ind w:left="0" w:firstLine="0"/>
        <w:rPr>
          <w:rFonts w:eastAsiaTheme="minorHAnsi"/>
          <w:b/>
          <w:color w:val="auto"/>
          <w:lang w:eastAsia="en-US"/>
        </w:rPr>
      </w:pPr>
      <w:r w:rsidRPr="008E009D">
        <w:rPr>
          <w:rFonts w:eastAsiaTheme="minorHAnsi"/>
          <w:b/>
          <w:color w:val="auto"/>
          <w:lang w:eastAsia="en-US"/>
        </w:rPr>
        <w:t>Background</w:t>
      </w:r>
    </w:p>
    <w:p w:rsidR="00C735F2" w:rsidRPr="0026270F" w:rsidRDefault="00C735F2" w:rsidP="000643FA">
      <w:pPr>
        <w:spacing w:after="0" w:line="240" w:lineRule="auto"/>
        <w:ind w:left="0" w:firstLine="0"/>
        <w:rPr>
          <w:rFonts w:eastAsiaTheme="minorHAnsi"/>
          <w:color w:val="auto"/>
          <w:u w:val="single"/>
          <w:lang w:eastAsia="en-US"/>
        </w:rPr>
      </w:pPr>
    </w:p>
    <w:p w:rsidR="00C735F2" w:rsidRPr="0026270F" w:rsidRDefault="00C735F2" w:rsidP="000643FA">
      <w:pPr>
        <w:spacing w:after="0" w:line="240" w:lineRule="auto"/>
        <w:ind w:left="0" w:firstLine="0"/>
        <w:rPr>
          <w:color w:val="auto"/>
          <w:lang w:eastAsia="en-US"/>
        </w:rPr>
      </w:pPr>
      <w:r w:rsidRPr="0026270F">
        <w:rPr>
          <w:color w:val="auto"/>
          <w:lang w:eastAsia="en-US"/>
        </w:rPr>
        <w:t xml:space="preserve">In July 2014, </w:t>
      </w:r>
      <w:r w:rsidR="000643FA">
        <w:rPr>
          <w:color w:val="auto"/>
          <w:lang w:eastAsia="en-US"/>
        </w:rPr>
        <w:t>G</w:t>
      </w:r>
      <w:r w:rsidRPr="0026270F">
        <w:rPr>
          <w:color w:val="auto"/>
          <w:lang w:eastAsia="en-US"/>
        </w:rPr>
        <w:t xml:space="preserve">overnment awarded the </w:t>
      </w:r>
      <w:r w:rsidR="000643FA">
        <w:rPr>
          <w:color w:val="auto"/>
          <w:lang w:eastAsia="en-US"/>
        </w:rPr>
        <w:t xml:space="preserve">Lancashire Enterprise Partnership (LEP) </w:t>
      </w:r>
      <w:r w:rsidRPr="0026270F">
        <w:rPr>
          <w:color w:val="auto"/>
          <w:lang w:eastAsia="en-US"/>
        </w:rPr>
        <w:t xml:space="preserve">£234m </w:t>
      </w:r>
      <w:r w:rsidR="000643FA">
        <w:rPr>
          <w:color w:val="auto"/>
          <w:lang w:eastAsia="en-US"/>
        </w:rPr>
        <w:t xml:space="preserve">from the </w:t>
      </w:r>
      <w:r w:rsidRPr="0026270F">
        <w:rPr>
          <w:color w:val="auto"/>
          <w:lang w:eastAsia="en-US"/>
        </w:rPr>
        <w:t xml:space="preserve">Local Growth Fund over the period 2015-21. Following the initial award </w:t>
      </w:r>
      <w:r w:rsidR="000643FA">
        <w:rPr>
          <w:color w:val="auto"/>
          <w:lang w:eastAsia="en-US"/>
        </w:rPr>
        <w:t xml:space="preserve">in 2014, </w:t>
      </w:r>
      <w:r w:rsidRPr="0026270F">
        <w:rPr>
          <w:color w:val="auto"/>
          <w:lang w:eastAsia="en-US"/>
        </w:rPr>
        <w:t xml:space="preserve">a further two awards have </w:t>
      </w:r>
      <w:r w:rsidR="000643FA">
        <w:rPr>
          <w:color w:val="auto"/>
          <w:lang w:eastAsia="en-US"/>
        </w:rPr>
        <w:t xml:space="preserve">since </w:t>
      </w:r>
      <w:r w:rsidRPr="0026270F">
        <w:rPr>
          <w:color w:val="auto"/>
          <w:lang w:eastAsia="en-US"/>
        </w:rPr>
        <w:t xml:space="preserve">been made to the </w:t>
      </w:r>
      <w:r w:rsidR="000643FA">
        <w:rPr>
          <w:color w:val="auto"/>
          <w:lang w:eastAsia="en-US"/>
        </w:rPr>
        <w:t>LEP,</w:t>
      </w:r>
      <w:r w:rsidRPr="0026270F">
        <w:rPr>
          <w:color w:val="auto"/>
          <w:lang w:eastAsia="en-US"/>
        </w:rPr>
        <w:t xml:space="preserve"> resulting in a Local Growth Deal Programme </w:t>
      </w:r>
      <w:r w:rsidR="000643FA">
        <w:rPr>
          <w:color w:val="auto"/>
          <w:lang w:eastAsia="en-US"/>
        </w:rPr>
        <w:t>totalling</w:t>
      </w:r>
      <w:r w:rsidRPr="0026270F">
        <w:rPr>
          <w:color w:val="auto"/>
          <w:lang w:eastAsia="en-US"/>
        </w:rPr>
        <w:t xml:space="preserve"> £320m.</w:t>
      </w:r>
    </w:p>
    <w:p w:rsidR="00C735F2" w:rsidRPr="0026270F" w:rsidRDefault="00C735F2" w:rsidP="000643FA">
      <w:pPr>
        <w:spacing w:after="0" w:line="240" w:lineRule="auto"/>
        <w:ind w:left="0" w:firstLine="0"/>
        <w:rPr>
          <w:color w:val="auto"/>
          <w:lang w:eastAsia="en-US"/>
        </w:rPr>
      </w:pPr>
      <w:r w:rsidRPr="0026270F">
        <w:rPr>
          <w:color w:val="auto"/>
          <w:lang w:eastAsia="en-US"/>
        </w:rPr>
        <w:t xml:space="preserve"> </w:t>
      </w:r>
    </w:p>
    <w:p w:rsidR="00C735F2" w:rsidRPr="0026270F" w:rsidRDefault="00C735F2" w:rsidP="000643FA">
      <w:pPr>
        <w:spacing w:after="0" w:line="240" w:lineRule="auto"/>
        <w:ind w:left="0" w:firstLine="0"/>
        <w:rPr>
          <w:color w:val="auto"/>
          <w:lang w:eastAsia="en-US"/>
        </w:rPr>
      </w:pPr>
      <w:r w:rsidRPr="0026270F">
        <w:rPr>
          <w:color w:val="auto"/>
          <w:lang w:eastAsia="en-US"/>
        </w:rPr>
        <w:lastRenderedPageBreak/>
        <w:t>It is</w:t>
      </w:r>
      <w:r w:rsidR="000643FA">
        <w:rPr>
          <w:color w:val="auto"/>
          <w:lang w:eastAsia="en-US"/>
        </w:rPr>
        <w:t xml:space="preserve"> expected at this stage that </w:t>
      </w:r>
      <w:r w:rsidRPr="0026270F">
        <w:rPr>
          <w:color w:val="auto"/>
          <w:lang w:eastAsia="en-US"/>
        </w:rPr>
        <w:t xml:space="preserve">the </w:t>
      </w:r>
      <w:r w:rsidR="000643FA">
        <w:rPr>
          <w:color w:val="auto"/>
          <w:lang w:eastAsia="en-US"/>
        </w:rPr>
        <w:t xml:space="preserve">Lancashire </w:t>
      </w:r>
      <w:r w:rsidRPr="0026270F">
        <w:rPr>
          <w:color w:val="auto"/>
          <w:lang w:eastAsia="en-US"/>
        </w:rPr>
        <w:t xml:space="preserve">Growth </w:t>
      </w:r>
      <w:r w:rsidR="000643FA">
        <w:rPr>
          <w:color w:val="auto"/>
          <w:lang w:eastAsia="en-US"/>
        </w:rPr>
        <w:t xml:space="preserve">Deal </w:t>
      </w:r>
      <w:r w:rsidRPr="0026270F">
        <w:rPr>
          <w:color w:val="auto"/>
          <w:lang w:eastAsia="en-US"/>
        </w:rPr>
        <w:t xml:space="preserve">will deliver up to 44 capital schemes during the period 2015/16 </w:t>
      </w:r>
      <w:r w:rsidR="000643FA">
        <w:rPr>
          <w:color w:val="auto"/>
          <w:lang w:eastAsia="en-US"/>
        </w:rPr>
        <w:t>to</w:t>
      </w:r>
      <w:r w:rsidRPr="0026270F">
        <w:rPr>
          <w:color w:val="auto"/>
          <w:lang w:eastAsia="en-US"/>
        </w:rPr>
        <w:t xml:space="preserve"> 2020/21.</w:t>
      </w:r>
    </w:p>
    <w:p w:rsidR="00C735F2" w:rsidRPr="0026270F" w:rsidRDefault="00C735F2" w:rsidP="000643FA">
      <w:pPr>
        <w:spacing w:after="0" w:line="240" w:lineRule="auto"/>
        <w:ind w:left="0" w:firstLine="0"/>
        <w:rPr>
          <w:rFonts w:eastAsiaTheme="minorHAnsi"/>
          <w:color w:val="auto"/>
          <w:u w:val="single"/>
          <w:lang w:eastAsia="en-US"/>
        </w:rPr>
      </w:pPr>
    </w:p>
    <w:p w:rsidR="00C735F2" w:rsidRPr="008E009D" w:rsidRDefault="000643FA" w:rsidP="000643FA">
      <w:pPr>
        <w:spacing w:after="0" w:line="240" w:lineRule="auto"/>
        <w:ind w:left="0" w:firstLine="0"/>
        <w:rPr>
          <w:rFonts w:eastAsiaTheme="minorHAnsi"/>
          <w:color w:val="auto"/>
          <w:lang w:eastAsia="en-US"/>
        </w:rPr>
      </w:pPr>
      <w:r w:rsidRPr="008E009D">
        <w:rPr>
          <w:rFonts w:eastAsiaTheme="minorHAnsi"/>
          <w:b/>
          <w:color w:val="auto"/>
          <w:lang w:eastAsia="en-US"/>
        </w:rPr>
        <w:t xml:space="preserve">Latest Programme </w:t>
      </w:r>
      <w:r w:rsidR="00C735F2" w:rsidRPr="008E009D">
        <w:rPr>
          <w:rFonts w:eastAsiaTheme="minorHAnsi"/>
          <w:b/>
          <w:color w:val="auto"/>
          <w:lang w:eastAsia="en-US"/>
        </w:rPr>
        <w:t xml:space="preserve">Position </w:t>
      </w:r>
    </w:p>
    <w:p w:rsidR="000643FA" w:rsidRDefault="000643FA" w:rsidP="000643FA">
      <w:pPr>
        <w:spacing w:after="0" w:line="240" w:lineRule="auto"/>
        <w:ind w:left="0" w:firstLine="0"/>
        <w:rPr>
          <w:rFonts w:eastAsiaTheme="minorHAnsi"/>
          <w:color w:val="auto"/>
          <w:lang w:eastAsia="en-US"/>
        </w:rPr>
      </w:pPr>
    </w:p>
    <w:p w:rsidR="00C735F2" w:rsidRPr="0026270F" w:rsidRDefault="00C735F2" w:rsidP="000643FA">
      <w:pPr>
        <w:spacing w:after="0" w:line="240" w:lineRule="auto"/>
        <w:ind w:left="0" w:firstLine="0"/>
        <w:rPr>
          <w:rFonts w:eastAsiaTheme="minorHAnsi"/>
          <w:color w:val="auto"/>
          <w:lang w:eastAsia="en-US"/>
        </w:rPr>
      </w:pPr>
      <w:r w:rsidRPr="0026270F">
        <w:rPr>
          <w:rFonts w:eastAsiaTheme="minorHAnsi"/>
          <w:color w:val="auto"/>
          <w:lang w:eastAsia="en-US"/>
        </w:rPr>
        <w:t xml:space="preserve">99% of the </w:t>
      </w:r>
      <w:r w:rsidR="000643FA">
        <w:rPr>
          <w:rFonts w:eastAsiaTheme="minorHAnsi"/>
          <w:color w:val="auto"/>
          <w:lang w:eastAsia="en-US"/>
        </w:rPr>
        <w:t xml:space="preserve">£320m </w:t>
      </w:r>
      <w:r w:rsidRPr="0026270F">
        <w:rPr>
          <w:rFonts w:eastAsiaTheme="minorHAnsi"/>
          <w:color w:val="auto"/>
          <w:lang w:eastAsia="en-US"/>
        </w:rPr>
        <w:t>Growth Deal funding has been allocated</w:t>
      </w:r>
      <w:r w:rsidR="000643FA">
        <w:rPr>
          <w:rFonts w:eastAsiaTheme="minorHAnsi"/>
          <w:color w:val="auto"/>
          <w:lang w:eastAsia="en-US"/>
        </w:rPr>
        <w:t xml:space="preserve"> across projects, wit</w:t>
      </w:r>
      <w:r w:rsidRPr="0026270F">
        <w:rPr>
          <w:rFonts w:eastAsiaTheme="minorHAnsi"/>
          <w:color w:val="auto"/>
          <w:lang w:eastAsia="en-US"/>
        </w:rPr>
        <w:t xml:space="preserve">h 70% </w:t>
      </w:r>
      <w:r w:rsidR="000643FA">
        <w:rPr>
          <w:rFonts w:eastAsiaTheme="minorHAnsi"/>
          <w:color w:val="auto"/>
          <w:lang w:eastAsia="en-US"/>
        </w:rPr>
        <w:t>of</w:t>
      </w:r>
      <w:r w:rsidRPr="0026270F">
        <w:rPr>
          <w:rFonts w:eastAsiaTheme="minorHAnsi"/>
          <w:color w:val="auto"/>
          <w:lang w:eastAsia="en-US"/>
        </w:rPr>
        <w:t xml:space="preserve"> projects having completed contracting in line with their original objectives.</w:t>
      </w:r>
    </w:p>
    <w:p w:rsidR="00C735F2" w:rsidRPr="0026270F" w:rsidRDefault="00C735F2" w:rsidP="000643FA">
      <w:pPr>
        <w:spacing w:after="0" w:line="240" w:lineRule="auto"/>
        <w:ind w:left="0" w:firstLine="0"/>
        <w:rPr>
          <w:rFonts w:eastAsiaTheme="minorHAnsi"/>
          <w:color w:val="auto"/>
          <w:lang w:eastAsia="en-US"/>
        </w:rPr>
      </w:pPr>
    </w:p>
    <w:p w:rsidR="00C735F2" w:rsidRPr="0026270F" w:rsidRDefault="00C735F2" w:rsidP="000643FA">
      <w:pPr>
        <w:spacing w:after="0" w:line="240" w:lineRule="auto"/>
        <w:ind w:left="0" w:firstLine="0"/>
        <w:rPr>
          <w:rFonts w:eastAsiaTheme="minorHAnsi"/>
          <w:color w:val="auto"/>
          <w:lang w:eastAsia="en-US"/>
        </w:rPr>
      </w:pPr>
      <w:r w:rsidRPr="0026270F">
        <w:rPr>
          <w:rFonts w:eastAsiaTheme="minorHAnsi"/>
          <w:color w:val="auto"/>
          <w:lang w:eastAsia="en-US"/>
        </w:rPr>
        <w:t>Of the 44 projects within the programme, 31 have received LEP</w:t>
      </w:r>
      <w:r w:rsidR="000643FA">
        <w:rPr>
          <w:rFonts w:eastAsiaTheme="minorHAnsi"/>
          <w:color w:val="auto"/>
          <w:lang w:eastAsia="en-US"/>
        </w:rPr>
        <w:t xml:space="preserve"> funding</w:t>
      </w:r>
      <w:r w:rsidRPr="0026270F">
        <w:rPr>
          <w:rFonts w:eastAsiaTheme="minorHAnsi"/>
          <w:color w:val="auto"/>
          <w:lang w:eastAsia="en-US"/>
        </w:rPr>
        <w:t xml:space="preserve"> approval and have a Grant Funding Agreement </w:t>
      </w:r>
      <w:r w:rsidR="000643FA">
        <w:rPr>
          <w:rFonts w:eastAsiaTheme="minorHAnsi"/>
          <w:color w:val="auto"/>
          <w:lang w:eastAsia="en-US"/>
        </w:rPr>
        <w:t xml:space="preserve">now </w:t>
      </w:r>
      <w:r w:rsidRPr="0026270F">
        <w:rPr>
          <w:rFonts w:eastAsiaTheme="minorHAnsi"/>
          <w:color w:val="auto"/>
          <w:lang w:eastAsia="en-US"/>
        </w:rPr>
        <w:t xml:space="preserve">in place. </w:t>
      </w:r>
    </w:p>
    <w:p w:rsidR="00C735F2" w:rsidRPr="0026270F" w:rsidRDefault="00C735F2" w:rsidP="000643FA">
      <w:pPr>
        <w:spacing w:after="0" w:line="240" w:lineRule="auto"/>
        <w:ind w:left="0" w:firstLine="0"/>
        <w:rPr>
          <w:rFonts w:eastAsiaTheme="minorHAnsi"/>
          <w:color w:val="auto"/>
          <w:lang w:eastAsia="en-US"/>
        </w:rPr>
      </w:pPr>
    </w:p>
    <w:p w:rsidR="00C735F2" w:rsidRPr="0026270F" w:rsidRDefault="000643FA" w:rsidP="000643FA">
      <w:pPr>
        <w:spacing w:after="0" w:line="240" w:lineRule="auto"/>
        <w:ind w:left="0" w:firstLine="0"/>
        <w:rPr>
          <w:rFonts w:eastAsiaTheme="minorHAnsi"/>
          <w:color w:val="auto"/>
          <w:lang w:eastAsia="en-US"/>
        </w:rPr>
      </w:pPr>
      <w:r>
        <w:rPr>
          <w:rFonts w:eastAsiaTheme="minorHAnsi"/>
          <w:color w:val="auto"/>
          <w:lang w:eastAsia="en-US"/>
        </w:rPr>
        <w:t>Timescales are presented below for the funding approval process for t</w:t>
      </w:r>
      <w:r w:rsidR="00C735F2" w:rsidRPr="0026270F">
        <w:rPr>
          <w:rFonts w:eastAsiaTheme="minorHAnsi"/>
          <w:color w:val="auto"/>
          <w:lang w:eastAsia="en-US"/>
        </w:rPr>
        <w:t xml:space="preserve">he remaining 13 projects: </w:t>
      </w:r>
    </w:p>
    <w:p w:rsidR="00C735F2" w:rsidRPr="0026270F" w:rsidRDefault="00C735F2" w:rsidP="000643FA">
      <w:pPr>
        <w:spacing w:after="0" w:line="240" w:lineRule="auto"/>
        <w:ind w:left="0" w:firstLine="0"/>
        <w:rPr>
          <w:rFonts w:eastAsiaTheme="minorHAnsi"/>
          <w:color w:val="auto"/>
          <w:lang w:eastAsia="en-US"/>
        </w:rPr>
      </w:pPr>
    </w:p>
    <w:p w:rsidR="00C735F2" w:rsidRPr="0026270F" w:rsidRDefault="00C735F2" w:rsidP="000643FA">
      <w:pPr>
        <w:numPr>
          <w:ilvl w:val="0"/>
          <w:numId w:val="19"/>
        </w:numPr>
        <w:spacing w:after="0" w:line="240" w:lineRule="auto"/>
        <w:ind w:left="1134" w:hanging="425"/>
        <w:rPr>
          <w:color w:val="auto"/>
          <w:lang w:eastAsia="en-US"/>
        </w:rPr>
      </w:pPr>
      <w:r w:rsidRPr="000643FA">
        <w:rPr>
          <w:b/>
          <w:color w:val="auto"/>
          <w:lang w:eastAsia="en-US"/>
        </w:rPr>
        <w:t>Blackburn Town Centre</w:t>
      </w:r>
      <w:r w:rsidRPr="0026270F">
        <w:rPr>
          <w:color w:val="auto"/>
          <w:lang w:eastAsia="en-US"/>
        </w:rPr>
        <w:t xml:space="preserve"> – Business Case expected to be presented to the Jun</w:t>
      </w:r>
      <w:r w:rsidR="000643FA">
        <w:rPr>
          <w:color w:val="auto"/>
          <w:lang w:eastAsia="en-US"/>
        </w:rPr>
        <w:t>e</w:t>
      </w:r>
      <w:r w:rsidRPr="0026270F">
        <w:rPr>
          <w:color w:val="auto"/>
          <w:lang w:eastAsia="en-US"/>
        </w:rPr>
        <w:t xml:space="preserve"> </w:t>
      </w:r>
      <w:r w:rsidR="000643FA">
        <w:rPr>
          <w:color w:val="auto"/>
          <w:lang w:eastAsia="en-US"/>
        </w:rPr>
        <w:t>20</w:t>
      </w:r>
      <w:r w:rsidRPr="0026270F">
        <w:rPr>
          <w:color w:val="auto"/>
          <w:lang w:eastAsia="en-US"/>
        </w:rPr>
        <w:t>17 GDMB meeting</w:t>
      </w:r>
      <w:r w:rsidR="000643FA">
        <w:rPr>
          <w:color w:val="auto"/>
          <w:lang w:eastAsia="en-US"/>
        </w:rPr>
        <w:t>.</w:t>
      </w:r>
    </w:p>
    <w:p w:rsidR="00C735F2" w:rsidRPr="0026270F" w:rsidRDefault="00C735F2" w:rsidP="000643FA">
      <w:pPr>
        <w:numPr>
          <w:ilvl w:val="0"/>
          <w:numId w:val="19"/>
        </w:numPr>
        <w:spacing w:after="0" w:line="240" w:lineRule="auto"/>
        <w:ind w:left="1134" w:hanging="425"/>
        <w:rPr>
          <w:color w:val="auto"/>
          <w:lang w:eastAsia="en-US"/>
        </w:rPr>
      </w:pPr>
      <w:r w:rsidRPr="000643FA">
        <w:rPr>
          <w:b/>
          <w:color w:val="auto"/>
          <w:lang w:eastAsia="en-US"/>
        </w:rPr>
        <w:t xml:space="preserve">Blackpool </w:t>
      </w:r>
      <w:r w:rsidR="000643FA" w:rsidRPr="000643FA">
        <w:rPr>
          <w:b/>
          <w:color w:val="auto"/>
          <w:lang w:eastAsia="en-US"/>
        </w:rPr>
        <w:t>Museum (HBVA)</w:t>
      </w:r>
      <w:r w:rsidRPr="0026270F">
        <w:rPr>
          <w:color w:val="auto"/>
          <w:lang w:eastAsia="en-US"/>
        </w:rPr>
        <w:t xml:space="preserve"> – Business Case expected to be presented to Jun</w:t>
      </w:r>
      <w:r w:rsidR="000643FA">
        <w:rPr>
          <w:color w:val="auto"/>
          <w:lang w:eastAsia="en-US"/>
        </w:rPr>
        <w:t>e 20</w:t>
      </w:r>
      <w:r w:rsidRPr="0026270F">
        <w:rPr>
          <w:color w:val="auto"/>
          <w:lang w:eastAsia="en-US"/>
        </w:rPr>
        <w:t>17 GDMB meeting</w:t>
      </w:r>
      <w:r w:rsidR="000643FA">
        <w:rPr>
          <w:color w:val="auto"/>
          <w:lang w:eastAsia="en-US"/>
        </w:rPr>
        <w:t>.</w:t>
      </w:r>
    </w:p>
    <w:p w:rsidR="00C735F2" w:rsidRPr="0026270F" w:rsidRDefault="00C735F2" w:rsidP="000643FA">
      <w:pPr>
        <w:numPr>
          <w:ilvl w:val="0"/>
          <w:numId w:val="19"/>
        </w:numPr>
        <w:spacing w:after="0" w:line="240" w:lineRule="auto"/>
        <w:ind w:left="1134" w:hanging="425"/>
        <w:rPr>
          <w:color w:val="auto"/>
          <w:lang w:eastAsia="en-US"/>
        </w:rPr>
      </w:pPr>
      <w:r w:rsidRPr="000643FA">
        <w:rPr>
          <w:b/>
          <w:color w:val="auto"/>
          <w:lang w:eastAsia="en-US"/>
        </w:rPr>
        <w:t>Blackpool Tramway Extension</w:t>
      </w:r>
      <w:r w:rsidRPr="0026270F">
        <w:rPr>
          <w:color w:val="auto"/>
          <w:lang w:eastAsia="en-US"/>
        </w:rPr>
        <w:t xml:space="preserve"> – Business Case expected to be presented to Nov</w:t>
      </w:r>
      <w:r w:rsidR="000643FA">
        <w:rPr>
          <w:color w:val="auto"/>
          <w:lang w:eastAsia="en-US"/>
        </w:rPr>
        <w:t>ember 20</w:t>
      </w:r>
      <w:r w:rsidRPr="0026270F">
        <w:rPr>
          <w:color w:val="auto"/>
          <w:lang w:eastAsia="en-US"/>
        </w:rPr>
        <w:t>17 TfL meeting</w:t>
      </w:r>
      <w:r w:rsidR="000643FA">
        <w:rPr>
          <w:color w:val="auto"/>
          <w:lang w:eastAsia="en-US"/>
        </w:rPr>
        <w:t>.</w:t>
      </w:r>
    </w:p>
    <w:p w:rsidR="00C735F2" w:rsidRPr="0026270F" w:rsidRDefault="00C735F2" w:rsidP="000643FA">
      <w:pPr>
        <w:numPr>
          <w:ilvl w:val="0"/>
          <w:numId w:val="19"/>
        </w:numPr>
        <w:spacing w:after="0" w:line="240" w:lineRule="auto"/>
        <w:ind w:left="1134" w:hanging="425"/>
        <w:rPr>
          <w:color w:val="auto"/>
          <w:lang w:eastAsia="en-US"/>
        </w:rPr>
      </w:pPr>
      <w:r w:rsidRPr="000643FA">
        <w:rPr>
          <w:b/>
          <w:color w:val="auto"/>
          <w:lang w:eastAsia="en-US"/>
        </w:rPr>
        <w:t>Darwen East Distributor</w:t>
      </w:r>
      <w:r w:rsidRPr="0026270F">
        <w:rPr>
          <w:color w:val="auto"/>
          <w:lang w:eastAsia="en-US"/>
        </w:rPr>
        <w:t xml:space="preserve"> – Business Case expected to be presented to Oct</w:t>
      </w:r>
      <w:r w:rsidR="000643FA">
        <w:rPr>
          <w:color w:val="auto"/>
          <w:lang w:eastAsia="en-US"/>
        </w:rPr>
        <w:t>ober 20</w:t>
      </w:r>
      <w:r w:rsidRPr="0026270F">
        <w:rPr>
          <w:color w:val="auto"/>
          <w:lang w:eastAsia="en-US"/>
        </w:rPr>
        <w:t>17 TfL meeting</w:t>
      </w:r>
      <w:r w:rsidR="000643FA">
        <w:rPr>
          <w:color w:val="auto"/>
          <w:lang w:eastAsia="en-US"/>
        </w:rPr>
        <w:t>.</w:t>
      </w:r>
    </w:p>
    <w:p w:rsidR="00C735F2" w:rsidRPr="0026270F" w:rsidRDefault="00C735F2" w:rsidP="000643FA">
      <w:pPr>
        <w:numPr>
          <w:ilvl w:val="0"/>
          <w:numId w:val="19"/>
        </w:numPr>
        <w:spacing w:after="0" w:line="240" w:lineRule="auto"/>
        <w:ind w:left="1134" w:hanging="425"/>
        <w:rPr>
          <w:color w:val="auto"/>
          <w:lang w:eastAsia="en-US"/>
        </w:rPr>
      </w:pPr>
      <w:r w:rsidRPr="000643FA">
        <w:rPr>
          <w:b/>
          <w:color w:val="auto"/>
          <w:lang w:eastAsia="en-US"/>
        </w:rPr>
        <w:t>Preston Western Distributor</w:t>
      </w:r>
      <w:r w:rsidR="000643FA">
        <w:rPr>
          <w:color w:val="auto"/>
          <w:lang w:eastAsia="en-US"/>
        </w:rPr>
        <w:t xml:space="preserve"> - O</w:t>
      </w:r>
      <w:r w:rsidRPr="0026270F">
        <w:rPr>
          <w:color w:val="auto"/>
          <w:lang w:eastAsia="en-US"/>
        </w:rPr>
        <w:t>utline Business case expected to be presented to Aug</w:t>
      </w:r>
      <w:r w:rsidR="000643FA">
        <w:rPr>
          <w:color w:val="auto"/>
          <w:lang w:eastAsia="en-US"/>
        </w:rPr>
        <w:t>ust 20</w:t>
      </w:r>
      <w:r w:rsidRPr="0026270F">
        <w:rPr>
          <w:color w:val="auto"/>
          <w:lang w:eastAsia="en-US"/>
        </w:rPr>
        <w:t>17</w:t>
      </w:r>
      <w:r w:rsidR="000643FA">
        <w:rPr>
          <w:color w:val="auto"/>
          <w:lang w:eastAsia="en-US"/>
        </w:rPr>
        <w:t xml:space="preserve"> TfL meeting.</w:t>
      </w:r>
    </w:p>
    <w:p w:rsidR="00C735F2" w:rsidRPr="0026270F" w:rsidRDefault="00C735F2" w:rsidP="000643FA">
      <w:pPr>
        <w:numPr>
          <w:ilvl w:val="0"/>
          <w:numId w:val="19"/>
        </w:numPr>
        <w:spacing w:after="0" w:line="240" w:lineRule="auto"/>
        <w:ind w:left="1134" w:hanging="425"/>
        <w:rPr>
          <w:color w:val="auto"/>
          <w:lang w:eastAsia="en-US"/>
        </w:rPr>
      </w:pPr>
      <w:r w:rsidRPr="000643FA">
        <w:rPr>
          <w:b/>
          <w:color w:val="auto"/>
          <w:lang w:eastAsia="en-US"/>
        </w:rPr>
        <w:t>M55 to St Annes Link Road</w:t>
      </w:r>
      <w:r w:rsidRPr="0026270F">
        <w:rPr>
          <w:color w:val="auto"/>
          <w:lang w:eastAsia="en-US"/>
        </w:rPr>
        <w:t xml:space="preserve"> - Timescales to be confirmed</w:t>
      </w:r>
      <w:r w:rsidR="000643FA">
        <w:rPr>
          <w:color w:val="auto"/>
          <w:lang w:eastAsia="en-US"/>
        </w:rPr>
        <w:t>.</w:t>
      </w:r>
    </w:p>
    <w:p w:rsidR="00C735F2" w:rsidRPr="0026270F" w:rsidRDefault="00C735F2" w:rsidP="000643FA">
      <w:pPr>
        <w:numPr>
          <w:ilvl w:val="0"/>
          <w:numId w:val="19"/>
        </w:numPr>
        <w:spacing w:after="0" w:line="240" w:lineRule="auto"/>
        <w:ind w:left="1134" w:hanging="425"/>
        <w:rPr>
          <w:color w:val="auto"/>
          <w:lang w:eastAsia="en-US"/>
        </w:rPr>
      </w:pPr>
      <w:r w:rsidRPr="000643FA">
        <w:rPr>
          <w:b/>
          <w:color w:val="auto"/>
          <w:lang w:eastAsia="en-US"/>
        </w:rPr>
        <w:t>M6 J28 Improvements</w:t>
      </w:r>
      <w:r w:rsidRPr="0026270F">
        <w:rPr>
          <w:color w:val="auto"/>
          <w:lang w:eastAsia="en-US"/>
        </w:rPr>
        <w:t xml:space="preserve"> - Timescales to be confirmed</w:t>
      </w:r>
      <w:r w:rsidR="000643FA">
        <w:rPr>
          <w:color w:val="auto"/>
          <w:lang w:eastAsia="en-US"/>
        </w:rPr>
        <w:t>.</w:t>
      </w:r>
      <w:r w:rsidRPr="0026270F">
        <w:rPr>
          <w:color w:val="auto"/>
          <w:lang w:eastAsia="en-US"/>
        </w:rPr>
        <w:t xml:space="preserve">  </w:t>
      </w:r>
    </w:p>
    <w:p w:rsidR="00C735F2" w:rsidRPr="0026270F" w:rsidRDefault="00C735F2" w:rsidP="000643FA">
      <w:pPr>
        <w:numPr>
          <w:ilvl w:val="0"/>
          <w:numId w:val="19"/>
        </w:numPr>
        <w:spacing w:after="0" w:line="240" w:lineRule="auto"/>
        <w:ind w:left="1134" w:hanging="425"/>
        <w:rPr>
          <w:rFonts w:eastAsiaTheme="minorHAnsi"/>
          <w:color w:val="auto"/>
          <w:lang w:eastAsia="en-US"/>
        </w:rPr>
      </w:pPr>
      <w:r w:rsidRPr="000643FA">
        <w:rPr>
          <w:b/>
          <w:color w:val="auto"/>
          <w:lang w:eastAsia="en-US"/>
        </w:rPr>
        <w:t>Growth Deal 3 (6 projects)</w:t>
      </w:r>
      <w:r w:rsidRPr="0026270F">
        <w:rPr>
          <w:color w:val="auto"/>
          <w:lang w:eastAsia="en-US"/>
        </w:rPr>
        <w:t xml:space="preserve"> - Following confirmation </w:t>
      </w:r>
      <w:r w:rsidR="000643FA">
        <w:rPr>
          <w:color w:val="auto"/>
          <w:lang w:eastAsia="en-US"/>
        </w:rPr>
        <w:t>of Growth Deal 3 funding i</w:t>
      </w:r>
      <w:r w:rsidRPr="0026270F">
        <w:rPr>
          <w:color w:val="auto"/>
          <w:lang w:eastAsia="en-US"/>
        </w:rPr>
        <w:t>n Jan</w:t>
      </w:r>
      <w:r w:rsidR="000643FA">
        <w:rPr>
          <w:color w:val="auto"/>
          <w:lang w:eastAsia="en-US"/>
        </w:rPr>
        <w:t>uary 20</w:t>
      </w:r>
      <w:r w:rsidRPr="0026270F">
        <w:rPr>
          <w:color w:val="auto"/>
          <w:lang w:eastAsia="en-US"/>
        </w:rPr>
        <w:t>17, discussions are progressing with Project Sponsors to confirm</w:t>
      </w:r>
      <w:r w:rsidR="000643FA">
        <w:rPr>
          <w:color w:val="auto"/>
          <w:lang w:eastAsia="en-US"/>
        </w:rPr>
        <w:t xml:space="preserve"> project</w:t>
      </w:r>
      <w:r w:rsidRPr="0026270F">
        <w:rPr>
          <w:color w:val="auto"/>
          <w:lang w:eastAsia="en-US"/>
        </w:rPr>
        <w:t xml:space="preserve"> </w:t>
      </w:r>
      <w:r w:rsidR="000643FA">
        <w:rPr>
          <w:color w:val="auto"/>
          <w:lang w:eastAsia="en-US"/>
        </w:rPr>
        <w:t xml:space="preserve">funding </w:t>
      </w:r>
      <w:r w:rsidRPr="0026270F">
        <w:rPr>
          <w:color w:val="auto"/>
          <w:lang w:eastAsia="en-US"/>
        </w:rPr>
        <w:t xml:space="preserve">allocation profiles </w:t>
      </w:r>
      <w:r w:rsidR="000643FA">
        <w:rPr>
          <w:color w:val="auto"/>
          <w:lang w:eastAsia="en-US"/>
        </w:rPr>
        <w:t>and</w:t>
      </w:r>
      <w:r w:rsidRPr="0026270F">
        <w:rPr>
          <w:color w:val="auto"/>
          <w:lang w:eastAsia="en-US"/>
        </w:rPr>
        <w:t xml:space="preserve"> delivery plans. </w:t>
      </w:r>
    </w:p>
    <w:p w:rsidR="00C735F2" w:rsidRPr="0026270F" w:rsidRDefault="00C735F2" w:rsidP="000643FA">
      <w:pPr>
        <w:spacing w:after="0" w:line="240" w:lineRule="auto"/>
        <w:ind w:left="0" w:firstLine="0"/>
        <w:rPr>
          <w:rFonts w:eastAsiaTheme="minorHAnsi"/>
          <w:color w:val="auto"/>
          <w:lang w:eastAsia="en-US"/>
        </w:rPr>
      </w:pPr>
    </w:p>
    <w:p w:rsidR="00C735F2" w:rsidRPr="002F7C5D" w:rsidRDefault="00C735F2" w:rsidP="000643FA">
      <w:pPr>
        <w:spacing w:after="0" w:line="240" w:lineRule="auto"/>
        <w:ind w:left="0" w:firstLine="0"/>
        <w:rPr>
          <w:rFonts w:eastAsiaTheme="minorHAnsi"/>
          <w:color w:val="auto"/>
          <w:lang w:eastAsia="en-US"/>
        </w:rPr>
      </w:pPr>
      <w:r w:rsidRPr="0026270F">
        <w:rPr>
          <w:rFonts w:eastAsiaTheme="minorHAnsi"/>
          <w:color w:val="auto"/>
          <w:lang w:eastAsia="en-US"/>
        </w:rPr>
        <w:t xml:space="preserve">The </w:t>
      </w:r>
      <w:r w:rsidR="000643FA">
        <w:rPr>
          <w:rFonts w:eastAsiaTheme="minorHAnsi"/>
          <w:color w:val="auto"/>
          <w:lang w:eastAsia="en-US"/>
        </w:rPr>
        <w:t xml:space="preserve">Growth Deal </w:t>
      </w:r>
      <w:r w:rsidRPr="0026270F">
        <w:rPr>
          <w:rFonts w:eastAsiaTheme="minorHAnsi"/>
          <w:color w:val="auto"/>
          <w:lang w:eastAsia="en-US"/>
        </w:rPr>
        <w:t xml:space="preserve">programme is currently delivering in </w:t>
      </w:r>
      <w:r w:rsidR="000643FA">
        <w:rPr>
          <w:rFonts w:eastAsiaTheme="minorHAnsi"/>
          <w:color w:val="auto"/>
          <w:lang w:eastAsia="en-US"/>
        </w:rPr>
        <w:t>line</w:t>
      </w:r>
      <w:r w:rsidRPr="0026270F">
        <w:rPr>
          <w:rFonts w:eastAsiaTheme="minorHAnsi"/>
          <w:color w:val="auto"/>
          <w:lang w:eastAsia="en-US"/>
        </w:rPr>
        <w:t xml:space="preserve"> with its agreed milestones and </w:t>
      </w:r>
      <w:r w:rsidR="000643FA">
        <w:rPr>
          <w:rFonts w:eastAsiaTheme="minorHAnsi"/>
          <w:color w:val="auto"/>
          <w:lang w:eastAsia="en-US"/>
        </w:rPr>
        <w:t>funding</w:t>
      </w:r>
      <w:r w:rsidR="002C3A5A">
        <w:rPr>
          <w:rFonts w:eastAsiaTheme="minorHAnsi"/>
          <w:color w:val="auto"/>
          <w:lang w:eastAsia="en-US"/>
        </w:rPr>
        <w:t xml:space="preserve"> </w:t>
      </w:r>
      <w:r w:rsidRPr="0026270F">
        <w:rPr>
          <w:rFonts w:eastAsiaTheme="minorHAnsi"/>
          <w:color w:val="auto"/>
          <w:lang w:eastAsia="en-US"/>
        </w:rPr>
        <w:t xml:space="preserve">profiles, with no significant issues to report on the 'live' projects within the programme. </w:t>
      </w:r>
    </w:p>
    <w:p w:rsidR="002C3A5A" w:rsidRDefault="002C3A5A" w:rsidP="000643FA">
      <w:pPr>
        <w:spacing w:after="0" w:line="240" w:lineRule="auto"/>
        <w:ind w:left="0" w:firstLine="0"/>
        <w:rPr>
          <w:rFonts w:eastAsiaTheme="minorHAnsi"/>
          <w:b/>
          <w:color w:val="auto"/>
          <w:lang w:eastAsia="en-US"/>
        </w:rPr>
      </w:pPr>
    </w:p>
    <w:p w:rsidR="00C735F2" w:rsidRPr="002C3A5A" w:rsidRDefault="002C3A5A" w:rsidP="002C3A5A">
      <w:pPr>
        <w:spacing w:after="0" w:line="240" w:lineRule="auto"/>
        <w:ind w:left="0" w:firstLine="0"/>
        <w:rPr>
          <w:rFonts w:eastAsiaTheme="minorHAnsi"/>
          <w:b/>
          <w:color w:val="auto"/>
          <w:lang w:eastAsia="en-US"/>
        </w:rPr>
      </w:pPr>
      <w:r w:rsidRPr="002C3A5A">
        <w:rPr>
          <w:rFonts w:eastAsiaTheme="minorHAnsi"/>
          <w:b/>
          <w:color w:val="auto"/>
          <w:lang w:eastAsia="en-US"/>
        </w:rPr>
        <w:t xml:space="preserve">Delivery of Programme </w:t>
      </w:r>
      <w:r w:rsidR="00C735F2" w:rsidRPr="002C3A5A">
        <w:rPr>
          <w:rFonts w:eastAsiaTheme="minorHAnsi"/>
          <w:b/>
          <w:color w:val="auto"/>
          <w:lang w:eastAsia="en-US"/>
        </w:rPr>
        <w:t xml:space="preserve">Outputs </w:t>
      </w:r>
      <w:r w:rsidRPr="002C3A5A">
        <w:rPr>
          <w:rFonts w:eastAsiaTheme="minorHAnsi"/>
          <w:b/>
          <w:color w:val="auto"/>
          <w:lang w:eastAsia="en-US"/>
        </w:rPr>
        <w:t>and</w:t>
      </w:r>
      <w:r w:rsidR="00C735F2" w:rsidRPr="002C3A5A">
        <w:rPr>
          <w:rFonts w:eastAsiaTheme="minorHAnsi"/>
          <w:b/>
          <w:color w:val="auto"/>
          <w:lang w:eastAsia="en-US"/>
        </w:rPr>
        <w:t xml:space="preserve"> Outcomes</w:t>
      </w:r>
    </w:p>
    <w:p w:rsidR="00C735F2" w:rsidRPr="0026270F" w:rsidRDefault="00C735F2" w:rsidP="002C3A5A">
      <w:pPr>
        <w:spacing w:after="0" w:line="240" w:lineRule="auto"/>
        <w:ind w:left="0" w:firstLine="0"/>
        <w:rPr>
          <w:rFonts w:eastAsiaTheme="minorHAnsi"/>
          <w:color w:val="auto"/>
          <w:lang w:eastAsia="en-US"/>
        </w:rPr>
      </w:pPr>
    </w:p>
    <w:p w:rsidR="00C735F2" w:rsidRPr="0026270F" w:rsidRDefault="002C3A5A" w:rsidP="002C3A5A">
      <w:pPr>
        <w:spacing w:after="0" w:line="240" w:lineRule="auto"/>
        <w:ind w:left="0" w:firstLine="0"/>
        <w:rPr>
          <w:rFonts w:eastAsiaTheme="minorHAnsi"/>
          <w:color w:val="auto"/>
          <w:lang w:eastAsia="en-US"/>
        </w:rPr>
      </w:pPr>
      <w:r>
        <w:rPr>
          <w:rFonts w:eastAsiaTheme="minorHAnsi"/>
          <w:color w:val="auto"/>
          <w:lang w:eastAsia="en-US"/>
        </w:rPr>
        <w:t xml:space="preserve">The programme is </w:t>
      </w:r>
      <w:r w:rsidR="00C735F2" w:rsidRPr="0026270F">
        <w:rPr>
          <w:rFonts w:eastAsiaTheme="minorHAnsi"/>
          <w:color w:val="auto"/>
          <w:lang w:eastAsia="en-US"/>
        </w:rPr>
        <w:t xml:space="preserve">in its </w:t>
      </w:r>
      <w:r>
        <w:rPr>
          <w:rFonts w:eastAsiaTheme="minorHAnsi"/>
          <w:color w:val="auto"/>
          <w:lang w:eastAsia="en-US"/>
        </w:rPr>
        <w:t xml:space="preserve">relevant </w:t>
      </w:r>
      <w:r w:rsidR="00C735F2" w:rsidRPr="0026270F">
        <w:rPr>
          <w:rFonts w:eastAsiaTheme="minorHAnsi"/>
          <w:color w:val="auto"/>
          <w:lang w:eastAsia="en-US"/>
        </w:rPr>
        <w:t xml:space="preserve">infancy in relation to realising the outputs and outcomes identified for each scheme and </w:t>
      </w:r>
      <w:r>
        <w:rPr>
          <w:rFonts w:eastAsiaTheme="minorHAnsi"/>
          <w:color w:val="auto"/>
          <w:lang w:eastAsia="en-US"/>
        </w:rPr>
        <w:t xml:space="preserve">as a programme </w:t>
      </w:r>
      <w:r w:rsidR="00C735F2" w:rsidRPr="0026270F">
        <w:rPr>
          <w:rFonts w:eastAsiaTheme="minorHAnsi"/>
          <w:color w:val="auto"/>
          <w:lang w:eastAsia="en-US"/>
        </w:rPr>
        <w:t>overall. However with 31 projects now delivering and significant reporting expected to commence in 2017/18, in line with capital spend profiles, the reporting of outputs and outcomes is expected to intensify</w:t>
      </w:r>
      <w:r>
        <w:rPr>
          <w:rFonts w:eastAsiaTheme="minorHAnsi"/>
          <w:color w:val="auto"/>
          <w:lang w:eastAsia="en-US"/>
        </w:rPr>
        <w:t xml:space="preserve"> in the coming months</w:t>
      </w:r>
      <w:r w:rsidR="00C735F2" w:rsidRPr="0026270F">
        <w:rPr>
          <w:rFonts w:eastAsiaTheme="minorHAnsi"/>
          <w:color w:val="auto"/>
          <w:lang w:eastAsia="en-US"/>
        </w:rPr>
        <w:t>.</w:t>
      </w:r>
    </w:p>
    <w:p w:rsidR="00C735F2" w:rsidRPr="0026270F" w:rsidRDefault="00C735F2" w:rsidP="002C3A5A">
      <w:pPr>
        <w:spacing w:after="0" w:line="240" w:lineRule="auto"/>
        <w:ind w:left="0" w:firstLine="0"/>
        <w:rPr>
          <w:rFonts w:eastAsiaTheme="minorHAnsi"/>
          <w:color w:val="auto"/>
          <w:lang w:eastAsia="en-US"/>
        </w:rPr>
      </w:pPr>
    </w:p>
    <w:p w:rsidR="00C735F2" w:rsidRPr="0026270F" w:rsidRDefault="00C735F2" w:rsidP="002C3A5A">
      <w:pPr>
        <w:spacing w:after="0" w:line="240" w:lineRule="auto"/>
        <w:ind w:left="0" w:firstLine="0"/>
        <w:rPr>
          <w:rFonts w:eastAsiaTheme="minorHAnsi"/>
          <w:color w:val="auto"/>
          <w:lang w:eastAsia="en-US"/>
        </w:rPr>
      </w:pPr>
      <w:r w:rsidRPr="0026270F">
        <w:rPr>
          <w:rFonts w:eastAsiaTheme="minorHAnsi"/>
          <w:color w:val="auto"/>
          <w:lang w:eastAsia="en-US"/>
        </w:rPr>
        <w:t>A c</w:t>
      </w:r>
      <w:r w:rsidRPr="0026270F">
        <w:t xml:space="preserve">omprehensive programme of on-site monitoring visits </w:t>
      </w:r>
      <w:r w:rsidR="002C3A5A">
        <w:t>combined with</w:t>
      </w:r>
      <w:r w:rsidRPr="0026270F">
        <w:t xml:space="preserve"> </w:t>
      </w:r>
      <w:r w:rsidR="002C3A5A">
        <w:t xml:space="preserve">project </w:t>
      </w:r>
      <w:r w:rsidRPr="0026270F">
        <w:t>claims received to date</w:t>
      </w:r>
      <w:r w:rsidR="002C3A5A">
        <w:t>,</w:t>
      </w:r>
      <w:r w:rsidRPr="0026270F">
        <w:t xml:space="preserve"> demonstrate</w:t>
      </w:r>
      <w:r w:rsidR="002C3A5A">
        <w:t>s</w:t>
      </w:r>
      <w:r w:rsidRPr="0026270F">
        <w:t xml:space="preserve"> significant progress </w:t>
      </w:r>
      <w:r w:rsidR="002C3A5A">
        <w:t xml:space="preserve">being achieved </w:t>
      </w:r>
      <w:r w:rsidRPr="0026270F">
        <w:t xml:space="preserve">on live schemes with projects </w:t>
      </w:r>
      <w:r w:rsidR="002C3A5A">
        <w:t xml:space="preserve">currently </w:t>
      </w:r>
      <w:r w:rsidRPr="0026270F">
        <w:t xml:space="preserve">delivering in accordance with their contracted milestones. </w:t>
      </w:r>
    </w:p>
    <w:p w:rsidR="00C735F2" w:rsidRPr="0026270F" w:rsidRDefault="00C735F2" w:rsidP="002C3A5A">
      <w:pPr>
        <w:spacing w:after="0" w:line="240" w:lineRule="auto"/>
        <w:ind w:left="0" w:firstLine="0"/>
        <w:rPr>
          <w:rFonts w:eastAsiaTheme="minorHAnsi"/>
          <w:color w:val="auto"/>
          <w:lang w:eastAsia="en-US"/>
        </w:rPr>
      </w:pPr>
    </w:p>
    <w:p w:rsidR="00C735F2" w:rsidRPr="0026270F" w:rsidRDefault="00C735F2" w:rsidP="002C3A5A">
      <w:pPr>
        <w:spacing w:after="0" w:line="240" w:lineRule="auto"/>
        <w:ind w:left="0" w:firstLine="0"/>
        <w:rPr>
          <w:rFonts w:eastAsiaTheme="minorHAnsi"/>
          <w:color w:val="auto"/>
          <w:lang w:eastAsia="en-US"/>
        </w:rPr>
      </w:pPr>
      <w:r w:rsidRPr="0026270F">
        <w:rPr>
          <w:rFonts w:eastAsiaTheme="minorHAnsi"/>
          <w:color w:val="auto"/>
          <w:lang w:eastAsia="en-US"/>
        </w:rPr>
        <w:t xml:space="preserve">Attention is </w:t>
      </w:r>
      <w:r w:rsidR="002C3A5A">
        <w:rPr>
          <w:rFonts w:eastAsiaTheme="minorHAnsi"/>
          <w:color w:val="auto"/>
          <w:lang w:eastAsia="en-US"/>
        </w:rPr>
        <w:t xml:space="preserve">now being </w:t>
      </w:r>
      <w:r w:rsidRPr="0026270F">
        <w:rPr>
          <w:rFonts w:eastAsiaTheme="minorHAnsi"/>
          <w:color w:val="auto"/>
          <w:lang w:eastAsia="en-US"/>
        </w:rPr>
        <w:t>focussed on bringing forward the remaining 13 projects which require</w:t>
      </w:r>
      <w:r w:rsidR="002C3A5A">
        <w:rPr>
          <w:rFonts w:eastAsiaTheme="minorHAnsi"/>
          <w:color w:val="auto"/>
          <w:lang w:eastAsia="en-US"/>
        </w:rPr>
        <w:t xml:space="preserve"> a</w:t>
      </w:r>
      <w:r w:rsidRPr="0026270F">
        <w:rPr>
          <w:rFonts w:eastAsiaTheme="minorHAnsi"/>
          <w:color w:val="auto"/>
          <w:lang w:eastAsia="en-US"/>
        </w:rPr>
        <w:t xml:space="preserve"> LEP </w:t>
      </w:r>
      <w:r w:rsidR="002C3A5A">
        <w:rPr>
          <w:rFonts w:eastAsiaTheme="minorHAnsi"/>
          <w:color w:val="auto"/>
          <w:lang w:eastAsia="en-US"/>
        </w:rPr>
        <w:t xml:space="preserve">funding </w:t>
      </w:r>
      <w:r w:rsidRPr="0026270F">
        <w:rPr>
          <w:rFonts w:eastAsiaTheme="minorHAnsi"/>
          <w:color w:val="auto"/>
          <w:lang w:eastAsia="en-US"/>
        </w:rPr>
        <w:t xml:space="preserve">approval. </w:t>
      </w:r>
    </w:p>
    <w:p w:rsidR="00C735F2" w:rsidRPr="0026270F" w:rsidRDefault="00C735F2" w:rsidP="00C735F2">
      <w:pPr>
        <w:spacing w:after="0" w:line="240" w:lineRule="auto"/>
        <w:ind w:left="0" w:firstLine="0"/>
        <w:jc w:val="both"/>
        <w:rPr>
          <w:rFonts w:eastAsiaTheme="minorHAnsi"/>
          <w:color w:val="auto"/>
          <w:u w:val="single"/>
          <w:lang w:eastAsia="en-US"/>
        </w:rPr>
      </w:pPr>
    </w:p>
    <w:p w:rsidR="00C735F2" w:rsidRPr="002C3A5A" w:rsidRDefault="002C3A5A" w:rsidP="00C735F2">
      <w:pPr>
        <w:spacing w:line="247" w:lineRule="auto"/>
        <w:ind w:left="0" w:firstLine="0"/>
        <w:rPr>
          <w:b/>
        </w:rPr>
      </w:pPr>
      <w:r w:rsidRPr="002C3A5A">
        <w:rPr>
          <w:b/>
        </w:rPr>
        <w:lastRenderedPageBreak/>
        <w:t>Financial Performance</w:t>
      </w:r>
    </w:p>
    <w:p w:rsidR="00C735F2" w:rsidRPr="0026270F" w:rsidRDefault="00C735F2" w:rsidP="00C735F2">
      <w:pPr>
        <w:spacing w:line="247" w:lineRule="auto"/>
        <w:ind w:left="0" w:firstLine="0"/>
      </w:pPr>
    </w:p>
    <w:p w:rsidR="00C735F2" w:rsidRPr="0026270F" w:rsidRDefault="00C735F2" w:rsidP="002C3A5A">
      <w:pPr>
        <w:spacing w:line="247" w:lineRule="auto"/>
        <w:ind w:left="0" w:firstLine="0"/>
      </w:pPr>
      <w:r w:rsidRPr="0026270F">
        <w:t>Of the £320.88</w:t>
      </w:r>
      <w:r w:rsidR="002C3A5A">
        <w:t>m</w:t>
      </w:r>
      <w:r w:rsidRPr="0026270F">
        <w:t xml:space="preserve"> Growth Deal funding awarded to Lancashire, all funding has been allocated</w:t>
      </w:r>
      <w:r w:rsidR="002C3A5A">
        <w:t xml:space="preserve"> to projects </w:t>
      </w:r>
      <w:r w:rsidRPr="0026270F">
        <w:t>with the exception of £1.80m</w:t>
      </w:r>
      <w:r w:rsidR="002C3A5A">
        <w:t xml:space="preserve">. This unallocated funding is </w:t>
      </w:r>
      <w:r w:rsidRPr="0026270F">
        <w:t>part of the £30m Skills Capital funding</w:t>
      </w:r>
      <w:r w:rsidR="002C3A5A">
        <w:t xml:space="preserve"> which had been </w:t>
      </w:r>
      <w:r w:rsidRPr="0026270F">
        <w:t xml:space="preserve">set aside pending the outcomes of the Area Based Review. </w:t>
      </w:r>
    </w:p>
    <w:p w:rsidR="00C735F2" w:rsidRPr="0026270F" w:rsidRDefault="00C735F2" w:rsidP="002C3A5A">
      <w:pPr>
        <w:spacing w:line="247" w:lineRule="auto"/>
        <w:ind w:left="0" w:firstLine="0"/>
      </w:pPr>
    </w:p>
    <w:p w:rsidR="00C735F2" w:rsidRPr="0026270F" w:rsidRDefault="00C735F2" w:rsidP="002C3A5A">
      <w:pPr>
        <w:spacing w:line="247" w:lineRule="auto"/>
        <w:ind w:left="0" w:firstLine="0"/>
      </w:pPr>
      <w:r w:rsidRPr="0026270F">
        <w:t xml:space="preserve">The breakdown of the </w:t>
      </w:r>
      <w:r w:rsidR="002C3A5A">
        <w:t>£320.88m is as follows:</w:t>
      </w:r>
    </w:p>
    <w:p w:rsidR="00C735F2" w:rsidRPr="0026270F" w:rsidRDefault="00C735F2" w:rsidP="002C3A5A">
      <w:pPr>
        <w:spacing w:line="247" w:lineRule="auto"/>
        <w:ind w:left="0" w:firstLine="0"/>
      </w:pPr>
    </w:p>
    <w:p w:rsidR="00C735F2" w:rsidRPr="0026270F" w:rsidRDefault="00C735F2" w:rsidP="002C3A5A">
      <w:pPr>
        <w:spacing w:line="247" w:lineRule="auto"/>
        <w:ind w:left="0" w:firstLine="0"/>
      </w:pPr>
      <w:r w:rsidRPr="0026270F">
        <w:t xml:space="preserve">Local Growth fund project allocations </w:t>
      </w:r>
      <w:r w:rsidRPr="0026270F">
        <w:tab/>
        <w:t>£ 204.12m</w:t>
      </w:r>
    </w:p>
    <w:p w:rsidR="00C735F2" w:rsidRPr="0026270F" w:rsidRDefault="00C735F2" w:rsidP="002C3A5A">
      <w:pPr>
        <w:spacing w:line="247" w:lineRule="auto"/>
        <w:ind w:left="0" w:firstLine="0"/>
      </w:pPr>
      <w:r w:rsidRPr="0026270F">
        <w:t xml:space="preserve">Heysham Link DfT Tail funding </w:t>
      </w:r>
      <w:r w:rsidRPr="0026270F">
        <w:tab/>
      </w:r>
      <w:r w:rsidRPr="0026270F">
        <w:tab/>
        <w:t>£ 41.00m</w:t>
      </w:r>
    </w:p>
    <w:p w:rsidR="00C735F2" w:rsidRPr="0026270F" w:rsidRDefault="002C3A5A" w:rsidP="002C3A5A">
      <w:pPr>
        <w:spacing w:line="247" w:lineRule="auto"/>
        <w:ind w:left="0" w:firstLine="0"/>
      </w:pPr>
      <w:r>
        <w:t>Standen H</w:t>
      </w:r>
      <w:r w:rsidR="00C735F2" w:rsidRPr="0026270F">
        <w:t xml:space="preserve">ousing Loan fund </w:t>
      </w:r>
      <w:r w:rsidR="00C735F2" w:rsidRPr="0026270F">
        <w:tab/>
      </w:r>
      <w:r w:rsidR="00C735F2" w:rsidRPr="0026270F">
        <w:tab/>
        <w:t>£ 6.00m</w:t>
      </w:r>
    </w:p>
    <w:p w:rsidR="00C735F2" w:rsidRPr="0026270F" w:rsidRDefault="00C735F2" w:rsidP="002C3A5A">
      <w:pPr>
        <w:spacing w:line="247" w:lineRule="auto"/>
        <w:ind w:left="0" w:firstLine="0"/>
      </w:pPr>
      <w:r w:rsidRPr="0026270F">
        <w:t xml:space="preserve">Growth Deal 3 </w:t>
      </w:r>
      <w:r w:rsidRPr="0026270F">
        <w:tab/>
      </w:r>
      <w:r w:rsidRPr="0026270F">
        <w:tab/>
      </w:r>
      <w:r w:rsidRPr="0026270F">
        <w:tab/>
      </w:r>
      <w:r w:rsidRPr="0026270F">
        <w:tab/>
        <w:t>£ 69.76m</w:t>
      </w:r>
    </w:p>
    <w:p w:rsidR="00C735F2" w:rsidRPr="0026270F" w:rsidRDefault="00C735F2" w:rsidP="002C3A5A">
      <w:pPr>
        <w:spacing w:line="247" w:lineRule="auto"/>
      </w:pPr>
    </w:p>
    <w:p w:rsidR="00C735F2" w:rsidRPr="0026270F" w:rsidRDefault="00C735F2" w:rsidP="002C3A5A">
      <w:pPr>
        <w:spacing w:line="247" w:lineRule="auto"/>
        <w:rPr>
          <w:u w:val="single"/>
        </w:rPr>
      </w:pPr>
      <w:r w:rsidRPr="0026270F">
        <w:t xml:space="preserve">Total </w:t>
      </w:r>
      <w:r w:rsidRPr="0026270F">
        <w:tab/>
      </w:r>
      <w:r w:rsidRPr="0026270F">
        <w:tab/>
      </w:r>
      <w:r w:rsidRPr="0026270F">
        <w:tab/>
      </w:r>
      <w:r w:rsidRPr="0026270F">
        <w:tab/>
      </w:r>
      <w:r w:rsidRPr="0026270F">
        <w:tab/>
      </w:r>
      <w:r w:rsidRPr="0026270F">
        <w:tab/>
      </w:r>
      <w:r w:rsidRPr="0026270F">
        <w:rPr>
          <w:u w:val="single"/>
        </w:rPr>
        <w:t>£ 320.88m</w:t>
      </w:r>
    </w:p>
    <w:p w:rsidR="00C735F2" w:rsidRPr="0026270F" w:rsidRDefault="00C735F2" w:rsidP="002C3A5A">
      <w:pPr>
        <w:spacing w:line="247" w:lineRule="auto"/>
        <w:ind w:left="0" w:firstLine="0"/>
      </w:pPr>
    </w:p>
    <w:p w:rsidR="00C735F2" w:rsidRPr="008E009D" w:rsidRDefault="00C735F2" w:rsidP="002C3A5A">
      <w:pPr>
        <w:spacing w:line="247" w:lineRule="auto"/>
        <w:ind w:left="0" w:firstLine="0"/>
        <w:rPr>
          <w:u w:val="single"/>
        </w:rPr>
      </w:pPr>
      <w:r w:rsidRPr="008E009D">
        <w:rPr>
          <w:u w:val="single"/>
        </w:rPr>
        <w:t>2015</w:t>
      </w:r>
      <w:r w:rsidR="002C3A5A" w:rsidRPr="008E009D">
        <w:rPr>
          <w:u w:val="single"/>
        </w:rPr>
        <w:t>/</w:t>
      </w:r>
      <w:r w:rsidRPr="008E009D">
        <w:rPr>
          <w:u w:val="single"/>
        </w:rPr>
        <w:t>16 spend:</w:t>
      </w:r>
    </w:p>
    <w:p w:rsidR="00C735F2" w:rsidRPr="0026270F" w:rsidRDefault="00C735F2" w:rsidP="002C3A5A">
      <w:pPr>
        <w:spacing w:line="247" w:lineRule="auto"/>
        <w:ind w:left="0" w:firstLine="0"/>
      </w:pPr>
    </w:p>
    <w:p w:rsidR="00C735F2" w:rsidRPr="0026270F" w:rsidRDefault="00C735F2" w:rsidP="002C3A5A">
      <w:pPr>
        <w:spacing w:line="247" w:lineRule="auto"/>
        <w:ind w:left="0" w:firstLine="0"/>
      </w:pPr>
      <w:r w:rsidRPr="0026270F">
        <w:t>There were total payments to Growth Deal listed projects of £30.51m in 2015/16 out of a total fund</w:t>
      </w:r>
      <w:r w:rsidR="002C3A5A">
        <w:t>ing</w:t>
      </w:r>
      <w:r w:rsidRPr="0026270F">
        <w:t xml:space="preserve"> recei</w:t>
      </w:r>
      <w:r w:rsidR="002C3A5A">
        <w:t>ved of £39.35m. The £</w:t>
      </w:r>
      <w:r w:rsidRPr="0026270F">
        <w:t>8.84m of slippage in</w:t>
      </w:r>
      <w:r w:rsidR="002C3A5A">
        <w:t xml:space="preserve"> the</w:t>
      </w:r>
      <w:r w:rsidRPr="0026270F">
        <w:t xml:space="preserve"> </w:t>
      </w:r>
      <w:r w:rsidR="002C3A5A">
        <w:t>Growth D</w:t>
      </w:r>
      <w:r w:rsidRPr="0026270F">
        <w:t xml:space="preserve">eal </w:t>
      </w:r>
      <w:r w:rsidR="002C3A5A">
        <w:t>programme was</w:t>
      </w:r>
      <w:r w:rsidRPr="0026270F">
        <w:t xml:space="preserve"> due to later than anticipated contracting</w:t>
      </w:r>
      <w:r w:rsidR="002C3A5A">
        <w:t xml:space="preserve"> on some projects and</w:t>
      </w:r>
      <w:r w:rsidRPr="0026270F">
        <w:t xml:space="preserve"> was allocated on a temporary basis to other capital projects in line with Department for Communities and Local Government (DCLG) advice in November 2015.</w:t>
      </w:r>
    </w:p>
    <w:p w:rsidR="00C735F2" w:rsidRPr="0026270F" w:rsidRDefault="00C735F2" w:rsidP="002C3A5A">
      <w:pPr>
        <w:spacing w:line="247" w:lineRule="auto"/>
        <w:ind w:left="0" w:firstLine="0"/>
      </w:pPr>
    </w:p>
    <w:p w:rsidR="00C735F2" w:rsidRPr="008E009D" w:rsidRDefault="00C735F2" w:rsidP="002C3A5A">
      <w:pPr>
        <w:spacing w:line="247" w:lineRule="auto"/>
        <w:ind w:left="0" w:firstLine="0"/>
        <w:rPr>
          <w:u w:val="single"/>
        </w:rPr>
      </w:pPr>
      <w:r w:rsidRPr="008E009D">
        <w:rPr>
          <w:u w:val="single"/>
        </w:rPr>
        <w:t>2016-17 spend to date:</w:t>
      </w:r>
    </w:p>
    <w:p w:rsidR="00C735F2" w:rsidRPr="0026270F" w:rsidRDefault="00C735F2" w:rsidP="002C3A5A">
      <w:pPr>
        <w:spacing w:line="247" w:lineRule="auto"/>
        <w:ind w:left="0" w:firstLine="0"/>
      </w:pPr>
    </w:p>
    <w:p w:rsidR="00C735F2" w:rsidRPr="0026270F" w:rsidRDefault="002C3A5A" w:rsidP="002C3A5A">
      <w:pPr>
        <w:spacing w:line="247" w:lineRule="auto"/>
        <w:ind w:left="0" w:firstLine="0"/>
      </w:pPr>
      <w:r>
        <w:t>The current anticipated spend/</w:t>
      </w:r>
      <w:r w:rsidR="00C735F2" w:rsidRPr="0026270F">
        <w:t>expenditure profile at February 2017 is:</w:t>
      </w:r>
    </w:p>
    <w:p w:rsidR="00C735F2" w:rsidRPr="0026270F" w:rsidRDefault="00C735F2" w:rsidP="002C3A5A">
      <w:pPr>
        <w:spacing w:line="247" w:lineRule="auto"/>
        <w:ind w:left="0" w:firstLine="0"/>
      </w:pPr>
    </w:p>
    <w:p w:rsidR="00C735F2" w:rsidRPr="0026270F" w:rsidRDefault="002C3A5A" w:rsidP="002C3A5A">
      <w:pPr>
        <w:spacing w:line="247" w:lineRule="auto"/>
        <w:ind w:left="0" w:firstLine="0"/>
      </w:pPr>
      <w:r>
        <w:t>Quarter 1 to June 2016</w:t>
      </w:r>
      <w:r w:rsidR="00C735F2" w:rsidRPr="0026270F">
        <w:t xml:space="preserve"> </w:t>
      </w:r>
      <w:r w:rsidR="00C735F2" w:rsidRPr="0026270F">
        <w:tab/>
      </w:r>
      <w:r w:rsidR="00DF50A5">
        <w:tab/>
      </w:r>
      <w:r w:rsidR="00C735F2" w:rsidRPr="0026270F">
        <w:t>£3.66m actual payments</w:t>
      </w:r>
    </w:p>
    <w:p w:rsidR="00C735F2" w:rsidRPr="0026270F" w:rsidRDefault="00DF50A5" w:rsidP="002C3A5A">
      <w:pPr>
        <w:spacing w:line="247" w:lineRule="auto"/>
        <w:ind w:left="0" w:firstLine="0"/>
      </w:pPr>
      <w:r>
        <w:t>Quarter 2 to September 2016</w:t>
      </w:r>
      <w:r>
        <w:tab/>
      </w:r>
      <w:r w:rsidR="00C735F2" w:rsidRPr="0026270F">
        <w:t>£7.06m actual payments</w:t>
      </w:r>
    </w:p>
    <w:p w:rsidR="00C735F2" w:rsidRPr="0026270F" w:rsidRDefault="00DF50A5" w:rsidP="002C3A5A">
      <w:pPr>
        <w:spacing w:line="247" w:lineRule="auto"/>
        <w:ind w:left="0" w:firstLine="0"/>
      </w:pPr>
      <w:r>
        <w:t>Quarter 3 to December 2016</w:t>
      </w:r>
      <w:r w:rsidR="00C735F2" w:rsidRPr="0026270F">
        <w:t xml:space="preserve"> </w:t>
      </w:r>
      <w:r w:rsidR="00C735F2" w:rsidRPr="0026270F">
        <w:tab/>
        <w:t>£10.09m actual payments</w:t>
      </w:r>
    </w:p>
    <w:p w:rsidR="00C735F2" w:rsidRPr="0026270F" w:rsidRDefault="00DF50A5" w:rsidP="002C3A5A">
      <w:pPr>
        <w:spacing w:line="247" w:lineRule="auto"/>
        <w:ind w:left="0" w:firstLine="0"/>
      </w:pPr>
      <w:r>
        <w:t>Quarter 4 to March 2017</w:t>
      </w:r>
      <w:r>
        <w:tab/>
      </w:r>
      <w:r w:rsidR="00C735F2" w:rsidRPr="0026270F">
        <w:t xml:space="preserve"> </w:t>
      </w:r>
      <w:r w:rsidR="00C735F2" w:rsidRPr="0026270F">
        <w:tab/>
        <w:t>£32.59m forecast</w:t>
      </w:r>
    </w:p>
    <w:p w:rsidR="00C735F2" w:rsidRPr="0026270F" w:rsidRDefault="00C735F2" w:rsidP="002C3A5A">
      <w:pPr>
        <w:spacing w:line="247" w:lineRule="auto"/>
        <w:ind w:left="0" w:firstLine="0"/>
      </w:pPr>
    </w:p>
    <w:p w:rsidR="00C735F2" w:rsidRPr="0026270F" w:rsidRDefault="00C735F2" w:rsidP="002C3A5A">
      <w:pPr>
        <w:spacing w:line="247" w:lineRule="auto"/>
        <w:ind w:left="0" w:firstLine="0"/>
      </w:pPr>
      <w:r w:rsidRPr="0026270F">
        <w:t xml:space="preserve">Total </w:t>
      </w:r>
      <w:r w:rsidRPr="0026270F">
        <w:tab/>
      </w:r>
      <w:r w:rsidRPr="0026270F">
        <w:tab/>
      </w:r>
      <w:r w:rsidRPr="0026270F">
        <w:tab/>
      </w:r>
      <w:r w:rsidR="00DF50A5">
        <w:tab/>
      </w:r>
      <w:r w:rsidR="00DF50A5">
        <w:tab/>
      </w:r>
      <w:r w:rsidRPr="0026270F">
        <w:rPr>
          <w:u w:val="single"/>
        </w:rPr>
        <w:t>£ 53.40m</w:t>
      </w:r>
    </w:p>
    <w:p w:rsidR="00C735F2" w:rsidRPr="0026270F" w:rsidRDefault="00C735F2" w:rsidP="002C3A5A">
      <w:pPr>
        <w:spacing w:after="0" w:line="240" w:lineRule="auto"/>
        <w:ind w:left="0" w:firstLine="0"/>
        <w:rPr>
          <w:color w:val="auto"/>
          <w:lang w:eastAsia="en-US"/>
        </w:rPr>
      </w:pPr>
      <w:r w:rsidRPr="0026270F">
        <w:rPr>
          <w:color w:val="auto"/>
          <w:lang w:eastAsia="en-US"/>
        </w:rPr>
        <w:t>Within this profile is a temporary movement of funds in 2016</w:t>
      </w:r>
      <w:r w:rsidR="00DF50A5">
        <w:rPr>
          <w:color w:val="auto"/>
          <w:lang w:eastAsia="en-US"/>
        </w:rPr>
        <w:t>/</w:t>
      </w:r>
      <w:r w:rsidRPr="0026270F">
        <w:rPr>
          <w:color w:val="auto"/>
          <w:lang w:eastAsia="en-US"/>
        </w:rPr>
        <w:t>17 totalling £17</w:t>
      </w:r>
      <w:r w:rsidR="00DF50A5">
        <w:rPr>
          <w:color w:val="auto"/>
          <w:lang w:eastAsia="en-US"/>
        </w:rPr>
        <w:t>.10m to other capital projects which is additional to the £8.84m in 2015/16</w:t>
      </w:r>
      <w:r w:rsidRPr="0026270F">
        <w:rPr>
          <w:color w:val="auto"/>
          <w:lang w:eastAsia="en-US"/>
        </w:rPr>
        <w:t xml:space="preserve">. This total slippage of £25m has resulted from </w:t>
      </w:r>
      <w:r w:rsidR="0052652B">
        <w:rPr>
          <w:color w:val="auto"/>
          <w:lang w:eastAsia="en-US"/>
        </w:rPr>
        <w:t xml:space="preserve">Growth Deal </w:t>
      </w:r>
      <w:r w:rsidRPr="0026270F">
        <w:rPr>
          <w:color w:val="auto"/>
          <w:lang w:eastAsia="en-US"/>
        </w:rPr>
        <w:t xml:space="preserve">project </w:t>
      </w:r>
      <w:r w:rsidR="0052652B">
        <w:rPr>
          <w:color w:val="auto"/>
          <w:lang w:eastAsia="en-US"/>
        </w:rPr>
        <w:t>either commencing later than planned</w:t>
      </w:r>
      <w:r w:rsidRPr="0026270F">
        <w:rPr>
          <w:color w:val="auto"/>
          <w:lang w:eastAsia="en-US"/>
        </w:rPr>
        <w:t xml:space="preserve"> or </w:t>
      </w:r>
      <w:r w:rsidR="0052652B">
        <w:rPr>
          <w:color w:val="auto"/>
          <w:lang w:eastAsia="en-US"/>
        </w:rPr>
        <w:t xml:space="preserve">as a result of </w:t>
      </w:r>
      <w:r w:rsidRPr="0026270F">
        <w:rPr>
          <w:color w:val="auto"/>
          <w:lang w:eastAsia="en-US"/>
        </w:rPr>
        <w:t xml:space="preserve">re-profiling of </w:t>
      </w:r>
      <w:r w:rsidR="0052652B">
        <w:rPr>
          <w:color w:val="auto"/>
          <w:lang w:eastAsia="en-US"/>
        </w:rPr>
        <w:t xml:space="preserve">financial </w:t>
      </w:r>
      <w:r w:rsidRPr="0026270F">
        <w:rPr>
          <w:color w:val="auto"/>
          <w:lang w:eastAsia="en-US"/>
        </w:rPr>
        <w:t xml:space="preserve">spend at contracting stage. </w:t>
      </w:r>
    </w:p>
    <w:p w:rsidR="00C735F2" w:rsidRPr="0026270F" w:rsidRDefault="00C735F2" w:rsidP="002C3A5A">
      <w:pPr>
        <w:spacing w:after="0" w:line="240" w:lineRule="auto"/>
        <w:ind w:left="0" w:firstLine="0"/>
        <w:rPr>
          <w:color w:val="auto"/>
          <w:lang w:eastAsia="en-US"/>
        </w:rPr>
      </w:pPr>
    </w:p>
    <w:p w:rsidR="00C735F2" w:rsidRPr="0026270F" w:rsidRDefault="006D5146" w:rsidP="002C3A5A">
      <w:pPr>
        <w:spacing w:after="0" w:line="240" w:lineRule="auto"/>
        <w:ind w:left="0" w:firstLine="0"/>
        <w:rPr>
          <w:color w:val="auto"/>
          <w:lang w:eastAsia="en-US"/>
        </w:rPr>
      </w:pPr>
      <w:r>
        <w:rPr>
          <w:color w:val="auto"/>
          <w:lang w:eastAsia="en-US"/>
        </w:rPr>
        <w:t>F</w:t>
      </w:r>
      <w:r w:rsidR="00C735F2" w:rsidRPr="0026270F">
        <w:rPr>
          <w:color w:val="auto"/>
          <w:lang w:eastAsia="en-US"/>
        </w:rPr>
        <w:t>orecast returns from live projects</w:t>
      </w:r>
      <w:r>
        <w:rPr>
          <w:color w:val="auto"/>
          <w:lang w:eastAsia="en-US"/>
        </w:rPr>
        <w:t xml:space="preserve"> indicate that</w:t>
      </w:r>
      <w:r w:rsidR="00C735F2" w:rsidRPr="0026270F">
        <w:rPr>
          <w:color w:val="auto"/>
          <w:lang w:eastAsia="en-US"/>
        </w:rPr>
        <w:t xml:space="preserve"> the majority of this slippage will be recovered in 2017</w:t>
      </w:r>
      <w:r>
        <w:rPr>
          <w:color w:val="auto"/>
          <w:lang w:eastAsia="en-US"/>
        </w:rPr>
        <w:t>/</w:t>
      </w:r>
      <w:r w:rsidR="00C735F2" w:rsidRPr="0026270F">
        <w:rPr>
          <w:color w:val="auto"/>
          <w:lang w:eastAsia="en-US"/>
        </w:rPr>
        <w:t>18 (£18.84m) with the remainder in later years</w:t>
      </w:r>
      <w:r>
        <w:rPr>
          <w:color w:val="auto"/>
          <w:lang w:eastAsia="en-US"/>
        </w:rPr>
        <w:t xml:space="preserve">. Slippage </w:t>
      </w:r>
      <w:r w:rsidR="00C735F2" w:rsidRPr="0026270F">
        <w:rPr>
          <w:color w:val="auto"/>
          <w:lang w:eastAsia="en-US"/>
        </w:rPr>
        <w:t>will continue to be reviewed to ensure project funding requirements as contract</w:t>
      </w:r>
      <w:r>
        <w:rPr>
          <w:color w:val="auto"/>
          <w:lang w:eastAsia="en-US"/>
        </w:rPr>
        <w:t xml:space="preserve">ing occurs are met </w:t>
      </w:r>
      <w:r w:rsidR="00C735F2" w:rsidRPr="0026270F">
        <w:rPr>
          <w:color w:val="auto"/>
          <w:lang w:eastAsia="en-US"/>
        </w:rPr>
        <w:t>whilst</w:t>
      </w:r>
      <w:r>
        <w:rPr>
          <w:color w:val="auto"/>
          <w:lang w:eastAsia="en-US"/>
        </w:rPr>
        <w:t xml:space="preserve"> also</w:t>
      </w:r>
      <w:r w:rsidR="00C735F2" w:rsidRPr="0026270F">
        <w:rPr>
          <w:color w:val="auto"/>
          <w:lang w:eastAsia="en-US"/>
        </w:rPr>
        <w:t xml:space="preserve"> ensuring there is no cumulative over spend on </w:t>
      </w:r>
      <w:r>
        <w:rPr>
          <w:color w:val="auto"/>
          <w:lang w:eastAsia="en-US"/>
        </w:rPr>
        <w:t xml:space="preserve">the </w:t>
      </w:r>
      <w:r w:rsidR="00C735F2" w:rsidRPr="0026270F">
        <w:rPr>
          <w:color w:val="auto"/>
          <w:lang w:eastAsia="en-US"/>
        </w:rPr>
        <w:t xml:space="preserve">Growth Deal </w:t>
      </w:r>
      <w:r>
        <w:rPr>
          <w:color w:val="auto"/>
          <w:lang w:eastAsia="en-US"/>
        </w:rPr>
        <w:t xml:space="preserve">programme </w:t>
      </w:r>
      <w:r w:rsidR="00C735F2" w:rsidRPr="0026270F">
        <w:rPr>
          <w:color w:val="auto"/>
          <w:lang w:eastAsia="en-US"/>
        </w:rPr>
        <w:t xml:space="preserve">which would cause the accountable body a financing issue. </w:t>
      </w:r>
    </w:p>
    <w:p w:rsidR="00C735F2" w:rsidRPr="0026270F" w:rsidRDefault="00C735F2" w:rsidP="002C3A5A">
      <w:pPr>
        <w:spacing w:after="0" w:line="240" w:lineRule="auto"/>
        <w:ind w:left="0" w:firstLine="0"/>
        <w:rPr>
          <w:rFonts w:eastAsiaTheme="minorHAnsi"/>
          <w:color w:val="auto"/>
          <w:u w:val="single"/>
          <w:lang w:eastAsia="en-US"/>
        </w:rPr>
      </w:pPr>
    </w:p>
    <w:p w:rsidR="00C735F2" w:rsidRPr="008E009D" w:rsidRDefault="00C735F2" w:rsidP="002C3A5A">
      <w:pPr>
        <w:spacing w:after="0" w:line="240" w:lineRule="auto"/>
        <w:ind w:left="0" w:firstLine="0"/>
        <w:rPr>
          <w:rFonts w:eastAsiaTheme="minorHAnsi"/>
          <w:color w:val="auto"/>
          <w:u w:val="single"/>
          <w:lang w:eastAsia="en-US"/>
        </w:rPr>
      </w:pPr>
      <w:r w:rsidRPr="008E009D">
        <w:rPr>
          <w:rFonts w:eastAsiaTheme="minorHAnsi"/>
          <w:color w:val="auto"/>
          <w:u w:val="single"/>
          <w:lang w:eastAsia="en-US"/>
        </w:rPr>
        <w:t>Current Challenges</w:t>
      </w:r>
    </w:p>
    <w:p w:rsidR="00C735F2" w:rsidRPr="0026270F" w:rsidRDefault="00C735F2" w:rsidP="002C3A5A">
      <w:pPr>
        <w:spacing w:after="0" w:line="240" w:lineRule="auto"/>
        <w:ind w:left="0" w:firstLine="0"/>
        <w:rPr>
          <w:rFonts w:eastAsiaTheme="minorHAnsi"/>
          <w:color w:val="auto"/>
          <w:lang w:eastAsia="en-US"/>
        </w:rPr>
      </w:pPr>
    </w:p>
    <w:p w:rsidR="00C735F2" w:rsidRPr="0026270F" w:rsidRDefault="00C735F2" w:rsidP="006D5146">
      <w:pPr>
        <w:numPr>
          <w:ilvl w:val="0"/>
          <w:numId w:val="20"/>
        </w:numPr>
        <w:spacing w:after="0" w:line="240" w:lineRule="auto"/>
        <w:ind w:left="1134" w:hanging="425"/>
        <w:contextualSpacing/>
        <w:rPr>
          <w:rFonts w:eastAsiaTheme="minorHAnsi"/>
          <w:color w:val="auto"/>
          <w:lang w:eastAsia="en-US"/>
        </w:rPr>
      </w:pPr>
      <w:r w:rsidRPr="0026270F">
        <w:rPr>
          <w:rFonts w:eastAsiaTheme="minorHAnsi"/>
          <w:color w:val="auto"/>
          <w:lang w:eastAsia="en-US"/>
        </w:rPr>
        <w:t>To ensure all 'live' projects within the programme deli</w:t>
      </w:r>
      <w:r w:rsidR="006D5146">
        <w:rPr>
          <w:rFonts w:eastAsiaTheme="minorHAnsi"/>
          <w:color w:val="auto"/>
          <w:lang w:eastAsia="en-US"/>
        </w:rPr>
        <w:t>ver in accordance with contracted/</w:t>
      </w:r>
      <w:r w:rsidRPr="0026270F">
        <w:rPr>
          <w:rFonts w:eastAsiaTheme="minorHAnsi"/>
          <w:color w:val="auto"/>
          <w:lang w:eastAsia="en-US"/>
        </w:rPr>
        <w:t>agreed profiles</w:t>
      </w:r>
      <w:r w:rsidR="006D5146">
        <w:rPr>
          <w:rFonts w:eastAsiaTheme="minorHAnsi"/>
          <w:color w:val="auto"/>
          <w:lang w:eastAsia="en-US"/>
        </w:rPr>
        <w:t>.</w:t>
      </w:r>
    </w:p>
    <w:p w:rsidR="00C735F2" w:rsidRPr="0026270F" w:rsidRDefault="00C735F2" w:rsidP="006D5146">
      <w:pPr>
        <w:numPr>
          <w:ilvl w:val="0"/>
          <w:numId w:val="20"/>
        </w:numPr>
        <w:spacing w:after="0" w:line="240" w:lineRule="auto"/>
        <w:ind w:left="1134" w:hanging="425"/>
        <w:contextualSpacing/>
        <w:rPr>
          <w:rFonts w:eastAsiaTheme="minorHAnsi"/>
          <w:color w:val="auto"/>
          <w:lang w:eastAsia="en-US"/>
        </w:rPr>
      </w:pPr>
      <w:r w:rsidRPr="0026270F">
        <w:rPr>
          <w:rFonts w:eastAsiaTheme="minorHAnsi"/>
          <w:color w:val="auto"/>
          <w:lang w:eastAsia="en-US"/>
        </w:rPr>
        <w:lastRenderedPageBreak/>
        <w:t xml:space="preserve">To monitor progress in relation Lancaster University's application to secure ESIF match funding </w:t>
      </w:r>
      <w:r w:rsidR="006D5146">
        <w:rPr>
          <w:rFonts w:eastAsiaTheme="minorHAnsi"/>
          <w:color w:val="auto"/>
          <w:lang w:eastAsia="en-US"/>
        </w:rPr>
        <w:t>for</w:t>
      </w:r>
      <w:r w:rsidRPr="0026270F">
        <w:rPr>
          <w:rFonts w:eastAsiaTheme="minorHAnsi"/>
          <w:color w:val="auto"/>
          <w:lang w:eastAsia="en-US"/>
        </w:rPr>
        <w:t xml:space="preserve"> the Lancaster </w:t>
      </w:r>
      <w:r w:rsidR="006D5146">
        <w:rPr>
          <w:rFonts w:eastAsiaTheme="minorHAnsi"/>
          <w:color w:val="auto"/>
          <w:lang w:eastAsia="en-US"/>
        </w:rPr>
        <w:t>University Health Innovation Campus project.</w:t>
      </w:r>
    </w:p>
    <w:p w:rsidR="00C735F2" w:rsidRPr="0026270F" w:rsidRDefault="00C735F2" w:rsidP="006D5146">
      <w:pPr>
        <w:numPr>
          <w:ilvl w:val="0"/>
          <w:numId w:val="20"/>
        </w:numPr>
        <w:spacing w:after="0" w:line="240" w:lineRule="auto"/>
        <w:ind w:left="1134" w:hanging="425"/>
        <w:contextualSpacing/>
        <w:rPr>
          <w:rFonts w:eastAsiaTheme="minorHAnsi"/>
          <w:color w:val="auto"/>
          <w:lang w:eastAsia="en-US"/>
        </w:rPr>
      </w:pPr>
      <w:r w:rsidRPr="0026270F">
        <w:rPr>
          <w:rFonts w:eastAsiaTheme="minorHAnsi"/>
          <w:color w:val="auto"/>
          <w:lang w:eastAsia="en-US"/>
        </w:rPr>
        <w:t>To continue to working closely with the M55 to St Anne's Link Road scheme sponsor and other partners to ensure delivery of this complex scheme which has a Growth Deal allocation of £2m</w:t>
      </w:r>
      <w:r w:rsidR="008E009D">
        <w:rPr>
          <w:rFonts w:eastAsiaTheme="minorHAnsi"/>
          <w:color w:val="auto"/>
          <w:lang w:eastAsia="en-US"/>
        </w:rPr>
        <w:t>.</w:t>
      </w:r>
    </w:p>
    <w:p w:rsidR="00C735F2" w:rsidRPr="0026270F" w:rsidRDefault="008E009D" w:rsidP="006D5146">
      <w:pPr>
        <w:numPr>
          <w:ilvl w:val="0"/>
          <w:numId w:val="20"/>
        </w:numPr>
        <w:spacing w:after="0" w:line="240" w:lineRule="auto"/>
        <w:ind w:left="1134" w:hanging="425"/>
        <w:contextualSpacing/>
        <w:rPr>
          <w:rFonts w:eastAsiaTheme="minorHAnsi"/>
          <w:color w:val="auto"/>
          <w:lang w:eastAsia="en-US"/>
        </w:rPr>
      </w:pPr>
      <w:r>
        <w:rPr>
          <w:rFonts w:eastAsiaTheme="minorHAnsi"/>
          <w:color w:val="auto"/>
          <w:lang w:eastAsia="en-US"/>
        </w:rPr>
        <w:t xml:space="preserve">To ensure the remaining seven Growth Deal 1 </w:t>
      </w:r>
      <w:r w:rsidR="00C735F2" w:rsidRPr="0026270F">
        <w:rPr>
          <w:rFonts w:eastAsiaTheme="minorHAnsi"/>
          <w:color w:val="auto"/>
          <w:lang w:eastAsia="en-US"/>
        </w:rPr>
        <w:t xml:space="preserve">schemes come forward for </w:t>
      </w:r>
      <w:r>
        <w:rPr>
          <w:rFonts w:eastAsiaTheme="minorHAnsi"/>
          <w:color w:val="auto"/>
          <w:lang w:eastAsia="en-US"/>
        </w:rPr>
        <w:t xml:space="preserve">a funding </w:t>
      </w:r>
      <w:r w:rsidR="00C735F2" w:rsidRPr="0026270F">
        <w:rPr>
          <w:rFonts w:eastAsiaTheme="minorHAnsi"/>
          <w:color w:val="auto"/>
          <w:lang w:eastAsia="en-US"/>
        </w:rPr>
        <w:t>appro</w:t>
      </w:r>
      <w:r>
        <w:rPr>
          <w:rFonts w:eastAsiaTheme="minorHAnsi"/>
          <w:color w:val="auto"/>
          <w:lang w:eastAsia="en-US"/>
        </w:rPr>
        <w:t>val in line with agreed timescales.</w:t>
      </w:r>
    </w:p>
    <w:p w:rsidR="00C735F2" w:rsidRPr="0026270F" w:rsidRDefault="00C735F2" w:rsidP="006D5146">
      <w:pPr>
        <w:numPr>
          <w:ilvl w:val="0"/>
          <w:numId w:val="20"/>
        </w:numPr>
        <w:spacing w:after="0" w:line="240" w:lineRule="auto"/>
        <w:ind w:left="1134" w:hanging="425"/>
        <w:contextualSpacing/>
        <w:rPr>
          <w:rFonts w:eastAsiaTheme="minorHAnsi"/>
          <w:color w:val="auto"/>
          <w:lang w:eastAsia="en-US"/>
        </w:rPr>
      </w:pPr>
      <w:r w:rsidRPr="0026270F">
        <w:rPr>
          <w:rFonts w:eastAsiaTheme="minorHAnsi"/>
          <w:color w:val="auto"/>
          <w:lang w:eastAsia="en-US"/>
        </w:rPr>
        <w:t>To confirm delivery plans for six G</w:t>
      </w:r>
      <w:r w:rsidR="008E009D">
        <w:rPr>
          <w:rFonts w:eastAsiaTheme="minorHAnsi"/>
          <w:color w:val="auto"/>
          <w:lang w:eastAsia="en-US"/>
        </w:rPr>
        <w:t>rowth Deal 3 projects.</w:t>
      </w:r>
      <w:r w:rsidRPr="0026270F">
        <w:rPr>
          <w:rFonts w:eastAsiaTheme="minorHAnsi"/>
          <w:color w:val="auto"/>
          <w:lang w:eastAsia="en-US"/>
        </w:rPr>
        <w:t xml:space="preserve"> </w:t>
      </w:r>
    </w:p>
    <w:p w:rsidR="00C735F2" w:rsidRPr="0026270F" w:rsidRDefault="00C735F2" w:rsidP="006D5146">
      <w:pPr>
        <w:numPr>
          <w:ilvl w:val="0"/>
          <w:numId w:val="20"/>
        </w:numPr>
        <w:spacing w:after="0" w:line="240" w:lineRule="auto"/>
        <w:ind w:left="1134" w:hanging="425"/>
        <w:contextualSpacing/>
        <w:rPr>
          <w:rFonts w:eastAsiaTheme="minorHAnsi"/>
          <w:color w:val="auto"/>
          <w:u w:val="single"/>
          <w:lang w:eastAsia="en-US"/>
        </w:rPr>
      </w:pPr>
      <w:r w:rsidRPr="0026270F">
        <w:rPr>
          <w:rFonts w:eastAsiaTheme="minorHAnsi"/>
          <w:color w:val="auto"/>
          <w:lang w:eastAsia="en-US"/>
        </w:rPr>
        <w:t>To ensure deliver</w:t>
      </w:r>
      <w:r w:rsidR="008E009D">
        <w:rPr>
          <w:rFonts w:eastAsiaTheme="minorHAnsi"/>
          <w:color w:val="auto"/>
          <w:lang w:eastAsia="en-US"/>
        </w:rPr>
        <w:t>y of the '</w:t>
      </w:r>
      <w:r w:rsidRPr="0026270F">
        <w:rPr>
          <w:rFonts w:eastAsiaTheme="minorHAnsi"/>
          <w:color w:val="auto"/>
          <w:lang w:eastAsia="en-US"/>
        </w:rPr>
        <w:t>Lancashire Deal' objectives</w:t>
      </w:r>
      <w:r w:rsidR="008E009D">
        <w:rPr>
          <w:rFonts w:eastAsiaTheme="minorHAnsi"/>
          <w:color w:val="auto"/>
          <w:lang w:eastAsia="en-US"/>
        </w:rPr>
        <w:t>.</w:t>
      </w:r>
    </w:p>
    <w:p w:rsidR="00C735F2" w:rsidRPr="0026270F" w:rsidRDefault="00C735F2" w:rsidP="002C3A5A">
      <w:pPr>
        <w:spacing w:after="0" w:line="240" w:lineRule="auto"/>
        <w:ind w:left="0" w:firstLine="0"/>
        <w:contextualSpacing/>
        <w:rPr>
          <w:rFonts w:eastAsiaTheme="minorHAnsi"/>
          <w:color w:val="auto"/>
          <w:u w:val="single"/>
          <w:lang w:eastAsia="en-US"/>
        </w:rPr>
      </w:pPr>
    </w:p>
    <w:p w:rsidR="00C735F2" w:rsidRPr="008E009D" w:rsidRDefault="00C735F2" w:rsidP="002C3A5A">
      <w:pPr>
        <w:spacing w:after="0" w:line="240" w:lineRule="auto"/>
        <w:ind w:left="0" w:firstLine="0"/>
        <w:contextualSpacing/>
        <w:rPr>
          <w:rFonts w:eastAsiaTheme="minorHAnsi"/>
          <w:color w:val="auto"/>
          <w:u w:val="single"/>
          <w:lang w:eastAsia="en-US"/>
        </w:rPr>
      </w:pPr>
      <w:r w:rsidRPr="008E009D">
        <w:rPr>
          <w:rFonts w:eastAsiaTheme="minorHAnsi"/>
          <w:color w:val="auto"/>
          <w:u w:val="single"/>
          <w:lang w:eastAsia="en-US"/>
        </w:rPr>
        <w:t>Future issues/Risks</w:t>
      </w:r>
    </w:p>
    <w:p w:rsidR="00C735F2" w:rsidRPr="0026270F" w:rsidRDefault="00C735F2" w:rsidP="002C3A5A">
      <w:pPr>
        <w:spacing w:after="0" w:line="240" w:lineRule="auto"/>
        <w:ind w:left="0" w:firstLine="0"/>
        <w:rPr>
          <w:rFonts w:eastAsiaTheme="minorHAnsi"/>
          <w:color w:val="auto"/>
          <w:u w:val="single"/>
          <w:lang w:eastAsia="en-US"/>
        </w:rPr>
      </w:pPr>
    </w:p>
    <w:p w:rsidR="00C735F2" w:rsidRPr="0026270F" w:rsidRDefault="00C735F2" w:rsidP="008E009D">
      <w:pPr>
        <w:numPr>
          <w:ilvl w:val="0"/>
          <w:numId w:val="21"/>
        </w:numPr>
        <w:spacing w:after="0" w:line="240" w:lineRule="auto"/>
        <w:ind w:left="1134" w:hanging="425"/>
        <w:contextualSpacing/>
        <w:rPr>
          <w:rFonts w:eastAsiaTheme="minorHAnsi"/>
          <w:color w:val="auto"/>
          <w:lang w:eastAsia="en-US"/>
        </w:rPr>
      </w:pPr>
      <w:r w:rsidRPr="0026270F">
        <w:rPr>
          <w:rFonts w:eastAsiaTheme="minorHAnsi"/>
          <w:color w:val="auto"/>
          <w:lang w:eastAsia="en-US"/>
        </w:rPr>
        <w:t xml:space="preserve">Ensure the 13 remaining projects within the programme, which require </w:t>
      </w:r>
      <w:r w:rsidR="008E009D">
        <w:rPr>
          <w:rFonts w:eastAsiaTheme="minorHAnsi"/>
          <w:color w:val="auto"/>
          <w:lang w:eastAsia="en-US"/>
        </w:rPr>
        <w:t xml:space="preserve">a </w:t>
      </w:r>
      <w:r w:rsidRPr="0026270F">
        <w:rPr>
          <w:rFonts w:eastAsiaTheme="minorHAnsi"/>
          <w:color w:val="auto"/>
          <w:lang w:eastAsia="en-US"/>
        </w:rPr>
        <w:t xml:space="preserve">LEP </w:t>
      </w:r>
      <w:r w:rsidR="008E009D">
        <w:rPr>
          <w:rFonts w:eastAsiaTheme="minorHAnsi"/>
          <w:color w:val="auto"/>
          <w:lang w:eastAsia="en-US"/>
        </w:rPr>
        <w:t xml:space="preserve">funding </w:t>
      </w:r>
      <w:r w:rsidRPr="0026270F">
        <w:rPr>
          <w:rFonts w:eastAsiaTheme="minorHAnsi"/>
          <w:color w:val="auto"/>
          <w:lang w:eastAsia="en-US"/>
        </w:rPr>
        <w:t xml:space="preserve">approval, are brought forward in line with agreed </w:t>
      </w:r>
      <w:r w:rsidR="008E009D">
        <w:rPr>
          <w:rFonts w:eastAsiaTheme="minorHAnsi"/>
          <w:color w:val="auto"/>
          <w:lang w:eastAsia="en-US"/>
        </w:rPr>
        <w:t>timescales.</w:t>
      </w:r>
    </w:p>
    <w:p w:rsidR="00C735F2" w:rsidRPr="0026270F" w:rsidRDefault="008E009D" w:rsidP="008E009D">
      <w:pPr>
        <w:numPr>
          <w:ilvl w:val="0"/>
          <w:numId w:val="21"/>
        </w:numPr>
        <w:spacing w:after="0" w:line="240" w:lineRule="auto"/>
        <w:ind w:left="1134" w:hanging="425"/>
        <w:contextualSpacing/>
        <w:rPr>
          <w:rFonts w:eastAsiaTheme="minorHAnsi"/>
          <w:color w:val="auto"/>
          <w:lang w:eastAsia="en-US"/>
        </w:rPr>
      </w:pPr>
      <w:r>
        <w:rPr>
          <w:rFonts w:eastAsiaTheme="minorHAnsi"/>
          <w:color w:val="auto"/>
          <w:lang w:eastAsia="en-US"/>
        </w:rPr>
        <w:t xml:space="preserve">Ensure recovery of </w:t>
      </w:r>
      <w:r w:rsidR="00C735F2" w:rsidRPr="0026270F">
        <w:rPr>
          <w:rFonts w:eastAsiaTheme="minorHAnsi"/>
          <w:color w:val="auto"/>
          <w:lang w:eastAsia="en-US"/>
        </w:rPr>
        <w:t>slippage within the programme</w:t>
      </w:r>
      <w:r>
        <w:rPr>
          <w:rFonts w:eastAsiaTheme="minorHAnsi"/>
          <w:color w:val="auto"/>
          <w:lang w:eastAsia="en-US"/>
        </w:rPr>
        <w:t>.</w:t>
      </w:r>
      <w:r w:rsidR="00C735F2" w:rsidRPr="0026270F">
        <w:rPr>
          <w:rFonts w:eastAsiaTheme="minorHAnsi"/>
          <w:color w:val="auto"/>
          <w:lang w:eastAsia="en-US"/>
        </w:rPr>
        <w:t xml:space="preserve"> </w:t>
      </w:r>
    </w:p>
    <w:p w:rsidR="00C735F2" w:rsidRPr="0026270F" w:rsidRDefault="008E009D" w:rsidP="008E009D">
      <w:pPr>
        <w:numPr>
          <w:ilvl w:val="0"/>
          <w:numId w:val="21"/>
        </w:numPr>
        <w:spacing w:after="0" w:line="240" w:lineRule="auto"/>
        <w:ind w:left="1134" w:hanging="425"/>
        <w:contextualSpacing/>
        <w:rPr>
          <w:rFonts w:eastAsiaTheme="minorHAnsi"/>
          <w:color w:val="auto"/>
          <w:lang w:eastAsia="en-US"/>
        </w:rPr>
      </w:pPr>
      <w:r>
        <w:rPr>
          <w:rFonts w:eastAsiaTheme="minorHAnsi"/>
          <w:color w:val="auto"/>
          <w:lang w:eastAsia="en-US"/>
        </w:rPr>
        <w:t>Ensure p</w:t>
      </w:r>
      <w:r w:rsidR="00C735F2" w:rsidRPr="0026270F">
        <w:rPr>
          <w:rFonts w:eastAsiaTheme="minorHAnsi"/>
          <w:color w:val="auto"/>
          <w:lang w:eastAsia="en-US"/>
        </w:rPr>
        <w:t>rojects fulfil their contract</w:t>
      </w:r>
      <w:r>
        <w:rPr>
          <w:rFonts w:eastAsiaTheme="minorHAnsi"/>
          <w:color w:val="auto"/>
          <w:lang w:eastAsia="en-US"/>
        </w:rPr>
        <w:t>ing</w:t>
      </w:r>
      <w:r w:rsidR="00C735F2" w:rsidRPr="0026270F">
        <w:rPr>
          <w:rFonts w:eastAsiaTheme="minorHAnsi"/>
          <w:color w:val="auto"/>
          <w:lang w:eastAsia="en-US"/>
        </w:rPr>
        <w:t xml:space="preserve"> requirements, both in terms of spend and outcomes</w:t>
      </w:r>
      <w:r>
        <w:rPr>
          <w:rFonts w:eastAsiaTheme="minorHAnsi"/>
          <w:color w:val="auto"/>
          <w:lang w:eastAsia="en-US"/>
        </w:rPr>
        <w:t>.</w:t>
      </w:r>
    </w:p>
    <w:p w:rsidR="00C735F2" w:rsidRPr="0026270F" w:rsidRDefault="00C735F2" w:rsidP="008E009D">
      <w:pPr>
        <w:numPr>
          <w:ilvl w:val="0"/>
          <w:numId w:val="21"/>
        </w:numPr>
        <w:spacing w:after="0" w:line="240" w:lineRule="auto"/>
        <w:ind w:left="1134" w:hanging="425"/>
        <w:contextualSpacing/>
        <w:rPr>
          <w:rFonts w:eastAsiaTheme="minorHAnsi"/>
          <w:color w:val="auto"/>
          <w:u w:val="single"/>
          <w:lang w:eastAsia="en-US"/>
        </w:rPr>
      </w:pPr>
      <w:r w:rsidRPr="0026270F">
        <w:rPr>
          <w:rFonts w:eastAsiaTheme="minorHAnsi"/>
          <w:color w:val="auto"/>
          <w:lang w:eastAsia="en-US"/>
        </w:rPr>
        <w:t>Ensure the programme collectively meet</w:t>
      </w:r>
      <w:r w:rsidR="008E009D">
        <w:rPr>
          <w:rFonts w:eastAsiaTheme="minorHAnsi"/>
          <w:color w:val="auto"/>
          <w:lang w:eastAsia="en-US"/>
        </w:rPr>
        <w:t>s</w:t>
      </w:r>
      <w:r w:rsidRPr="0026270F">
        <w:rPr>
          <w:rFonts w:eastAsiaTheme="minorHAnsi"/>
          <w:color w:val="auto"/>
          <w:lang w:eastAsia="en-US"/>
        </w:rPr>
        <w:t xml:space="preserve"> or exceed</w:t>
      </w:r>
      <w:r w:rsidR="008E009D">
        <w:rPr>
          <w:rFonts w:eastAsiaTheme="minorHAnsi"/>
          <w:color w:val="auto"/>
          <w:lang w:eastAsia="en-US"/>
        </w:rPr>
        <w:t xml:space="preserve">s the' Lancashire Deal' </w:t>
      </w:r>
      <w:r w:rsidRPr="0026270F">
        <w:rPr>
          <w:rFonts w:eastAsiaTheme="minorHAnsi"/>
          <w:color w:val="auto"/>
          <w:lang w:eastAsia="en-US"/>
        </w:rPr>
        <w:t>objectives</w:t>
      </w:r>
      <w:r w:rsidR="008E009D">
        <w:rPr>
          <w:rFonts w:eastAsiaTheme="minorHAnsi"/>
          <w:color w:val="auto"/>
          <w:lang w:eastAsia="en-US"/>
        </w:rPr>
        <w:t>.</w:t>
      </w:r>
      <w:r w:rsidRPr="0026270F">
        <w:rPr>
          <w:rFonts w:eastAsiaTheme="minorHAnsi"/>
          <w:color w:val="auto"/>
          <w:lang w:eastAsia="en-US"/>
        </w:rPr>
        <w:t xml:space="preserve"> </w:t>
      </w:r>
    </w:p>
    <w:p w:rsidR="00C735F2" w:rsidRPr="0026270F" w:rsidRDefault="008E009D" w:rsidP="008E009D">
      <w:pPr>
        <w:numPr>
          <w:ilvl w:val="0"/>
          <w:numId w:val="21"/>
        </w:numPr>
        <w:spacing w:after="0" w:line="240" w:lineRule="auto"/>
        <w:ind w:left="1134" w:hanging="425"/>
        <w:contextualSpacing/>
        <w:rPr>
          <w:rFonts w:eastAsiaTheme="minorHAnsi"/>
          <w:color w:val="auto"/>
          <w:u w:val="single"/>
          <w:lang w:eastAsia="en-US"/>
        </w:rPr>
      </w:pPr>
      <w:r>
        <w:rPr>
          <w:rFonts w:eastAsiaTheme="minorHAnsi"/>
          <w:color w:val="auto"/>
          <w:lang w:eastAsia="en-US"/>
        </w:rPr>
        <w:t>M</w:t>
      </w:r>
      <w:r w:rsidR="00C735F2" w:rsidRPr="0026270F">
        <w:rPr>
          <w:rFonts w:eastAsiaTheme="minorHAnsi"/>
          <w:color w:val="auto"/>
          <w:lang w:eastAsia="en-US"/>
        </w:rPr>
        <w:t>anage the Growth Deal financia</w:t>
      </w:r>
      <w:r>
        <w:rPr>
          <w:rFonts w:eastAsiaTheme="minorHAnsi"/>
          <w:color w:val="auto"/>
          <w:lang w:eastAsia="en-US"/>
        </w:rPr>
        <w:t>l allocations in line with the annual funding allocation from Government.</w:t>
      </w:r>
      <w:r w:rsidR="00C735F2" w:rsidRPr="0026270F">
        <w:rPr>
          <w:rFonts w:eastAsiaTheme="minorHAnsi"/>
          <w:color w:val="auto"/>
          <w:lang w:eastAsia="en-US"/>
        </w:rPr>
        <w:t xml:space="preserve"> </w:t>
      </w:r>
    </w:p>
    <w:p w:rsidR="00C735F2" w:rsidRPr="0026270F" w:rsidRDefault="00C735F2" w:rsidP="002C3A5A">
      <w:pPr>
        <w:spacing w:after="0" w:line="240" w:lineRule="auto"/>
        <w:ind w:left="0" w:firstLine="0"/>
        <w:rPr>
          <w:rFonts w:eastAsiaTheme="minorHAnsi"/>
          <w:color w:val="auto"/>
          <w:lang w:eastAsia="en-US"/>
        </w:rPr>
      </w:pPr>
    </w:p>
    <w:p w:rsidR="00C735F2" w:rsidRDefault="00C735F2" w:rsidP="008E009D">
      <w:pPr>
        <w:spacing w:line="240" w:lineRule="auto"/>
        <w:rPr>
          <w:b/>
        </w:rPr>
      </w:pPr>
      <w:r w:rsidRPr="009772B6">
        <w:rPr>
          <w:b/>
        </w:rPr>
        <w:t>Enterprise Zone Programme</w:t>
      </w:r>
    </w:p>
    <w:p w:rsidR="00AB1F41" w:rsidRDefault="00AB1F41" w:rsidP="00AB1F41">
      <w:pPr>
        <w:spacing w:after="0" w:line="240" w:lineRule="auto"/>
        <w:ind w:left="0" w:firstLine="0"/>
        <w:rPr>
          <w:b/>
        </w:rPr>
      </w:pPr>
    </w:p>
    <w:p w:rsidR="00AB1F41" w:rsidRPr="00A645CC" w:rsidRDefault="00AB1F41" w:rsidP="00AB1F41">
      <w:pPr>
        <w:spacing w:after="0" w:line="240" w:lineRule="auto"/>
        <w:ind w:left="0" w:firstLine="0"/>
      </w:pPr>
      <w:r w:rsidRPr="00A645CC">
        <w:rPr>
          <w:b/>
        </w:rPr>
        <w:t>Branding</w:t>
      </w:r>
    </w:p>
    <w:p w:rsidR="00822DC6" w:rsidRDefault="00822DC6" w:rsidP="00AB1F41">
      <w:pPr>
        <w:spacing w:after="0" w:line="240" w:lineRule="auto"/>
        <w:ind w:left="0" w:firstLine="0"/>
      </w:pPr>
    </w:p>
    <w:p w:rsidR="004828F8" w:rsidRDefault="00822DC6" w:rsidP="00822DC6">
      <w:pPr>
        <w:tabs>
          <w:tab w:val="left" w:pos="567"/>
        </w:tabs>
        <w:spacing w:after="0" w:line="240" w:lineRule="auto"/>
        <w:ind w:left="0" w:firstLine="0"/>
      </w:pPr>
      <w:r>
        <w:t xml:space="preserve">Following stakeholder consultation and agreement by the Enterprise Zone Governance Committee, it has been </w:t>
      </w:r>
      <w:r w:rsidRPr="00015DA4">
        <w:t xml:space="preserve">agreed </w:t>
      </w:r>
      <w:r>
        <w:t xml:space="preserve">that the Lancashire Advanced Manufacturing and Energy Cluster would be the “parent” name </w:t>
      </w:r>
      <w:r w:rsidR="004828F8">
        <w:t>for the LEP's Enterprise Zone Cluster Programme with the four individual sites to be named as:</w:t>
      </w:r>
      <w:r>
        <w:t xml:space="preserve"> </w:t>
      </w:r>
    </w:p>
    <w:p w:rsidR="004828F8" w:rsidRDefault="004828F8" w:rsidP="00822DC6">
      <w:pPr>
        <w:tabs>
          <w:tab w:val="left" w:pos="567"/>
        </w:tabs>
        <w:spacing w:after="0" w:line="240" w:lineRule="auto"/>
        <w:ind w:left="0" w:firstLine="0"/>
      </w:pPr>
    </w:p>
    <w:p w:rsidR="004828F8" w:rsidRDefault="00822DC6" w:rsidP="004828F8">
      <w:pPr>
        <w:pStyle w:val="ListParagraph"/>
        <w:numPr>
          <w:ilvl w:val="0"/>
          <w:numId w:val="22"/>
        </w:numPr>
        <w:tabs>
          <w:tab w:val="left" w:pos="567"/>
        </w:tabs>
        <w:spacing w:after="0" w:line="240" w:lineRule="auto"/>
      </w:pPr>
      <w:r>
        <w:t>Samle</w:t>
      </w:r>
      <w:r w:rsidR="004828F8">
        <w:t>sbury Aerospace Enterprise Zone;</w:t>
      </w:r>
    </w:p>
    <w:p w:rsidR="004828F8" w:rsidRDefault="004828F8" w:rsidP="004828F8">
      <w:pPr>
        <w:pStyle w:val="ListParagraph"/>
        <w:numPr>
          <w:ilvl w:val="0"/>
          <w:numId w:val="22"/>
        </w:numPr>
        <w:tabs>
          <w:tab w:val="left" w:pos="567"/>
        </w:tabs>
        <w:spacing w:after="0" w:line="240" w:lineRule="auto"/>
      </w:pPr>
      <w:r>
        <w:t>Warton Aviation Enterprise Zone;</w:t>
      </w:r>
    </w:p>
    <w:p w:rsidR="00822DC6" w:rsidRDefault="00822DC6" w:rsidP="004828F8">
      <w:pPr>
        <w:pStyle w:val="ListParagraph"/>
        <w:numPr>
          <w:ilvl w:val="0"/>
          <w:numId w:val="22"/>
        </w:numPr>
        <w:tabs>
          <w:tab w:val="left" w:pos="567"/>
        </w:tabs>
        <w:spacing w:after="0" w:line="240" w:lineRule="auto"/>
      </w:pPr>
      <w:r>
        <w:t>Bla</w:t>
      </w:r>
      <w:r w:rsidR="003C27AE">
        <w:t>ckpool Airport Enterprise Zone; and</w:t>
      </w:r>
    </w:p>
    <w:p w:rsidR="003C27AE" w:rsidRPr="00015DA4" w:rsidRDefault="003C27AE" w:rsidP="004828F8">
      <w:pPr>
        <w:pStyle w:val="ListParagraph"/>
        <w:numPr>
          <w:ilvl w:val="0"/>
          <w:numId w:val="22"/>
        </w:numPr>
        <w:tabs>
          <w:tab w:val="left" w:pos="567"/>
        </w:tabs>
        <w:spacing w:after="0" w:line="240" w:lineRule="auto"/>
      </w:pPr>
      <w:r>
        <w:t>Hillhouse Technology Enterprise Zone.</w:t>
      </w:r>
    </w:p>
    <w:p w:rsidR="00822DC6" w:rsidRPr="00015DA4" w:rsidRDefault="00822DC6" w:rsidP="00822DC6">
      <w:pPr>
        <w:spacing w:after="0" w:line="240" w:lineRule="auto"/>
        <w:ind w:left="0" w:firstLine="0"/>
      </w:pPr>
    </w:p>
    <w:p w:rsidR="004828F8" w:rsidRDefault="00822DC6" w:rsidP="00822DC6">
      <w:pPr>
        <w:spacing w:after="0" w:line="240" w:lineRule="auto"/>
        <w:ind w:left="0" w:firstLine="0"/>
      </w:pPr>
      <w:r>
        <w:t xml:space="preserve">Brand guidelines </w:t>
      </w:r>
      <w:r w:rsidR="004828F8">
        <w:t xml:space="preserve">are being </w:t>
      </w:r>
      <w:r>
        <w:t xml:space="preserve">issued to all </w:t>
      </w:r>
      <w:r w:rsidRPr="00015DA4">
        <w:t>local authority, landowner, commercial agent partners and key stakehol</w:t>
      </w:r>
      <w:r>
        <w:t>ders who took part in the consultation workshop and survey</w:t>
      </w:r>
      <w:r w:rsidR="004828F8">
        <w:t xml:space="preserve">, with </w:t>
      </w:r>
      <w:r>
        <w:t xml:space="preserve">Marketing Lancashire </w:t>
      </w:r>
      <w:r w:rsidR="004828F8">
        <w:t>acting</w:t>
      </w:r>
      <w:r>
        <w:t xml:space="preserve"> as brand guardians</w:t>
      </w:r>
      <w:r w:rsidR="004828F8">
        <w:t>.</w:t>
      </w:r>
    </w:p>
    <w:p w:rsidR="004828F8" w:rsidRDefault="004828F8" w:rsidP="00822DC6">
      <w:pPr>
        <w:spacing w:after="0" w:line="240" w:lineRule="auto"/>
        <w:ind w:left="0" w:firstLine="0"/>
      </w:pPr>
    </w:p>
    <w:p w:rsidR="00AB1F41" w:rsidRDefault="004828F8" w:rsidP="00822DC6">
      <w:pPr>
        <w:spacing w:after="0" w:line="240" w:lineRule="auto"/>
        <w:ind w:left="0" w:firstLine="0"/>
      </w:pPr>
      <w:r>
        <w:t>Promotional collateral and a web presence for the overarching parent brand and the individual sites are to be developed over the coming weeks. A</w:t>
      </w:r>
      <w:r w:rsidR="00822DC6">
        <w:t>ll collateral will be signed off through Marketing Lancashire to ensure that the marketing and communications of the EZs is consistent.</w:t>
      </w:r>
    </w:p>
    <w:p w:rsidR="00822DC6" w:rsidRDefault="00822DC6" w:rsidP="00AB1F41">
      <w:pPr>
        <w:spacing w:after="0" w:line="240" w:lineRule="auto"/>
        <w:ind w:left="0" w:firstLine="0"/>
      </w:pPr>
    </w:p>
    <w:p w:rsidR="002F7C5D" w:rsidRDefault="002F7C5D" w:rsidP="008E009D">
      <w:pPr>
        <w:spacing w:line="240" w:lineRule="auto"/>
        <w:rPr>
          <w:b/>
          <w:i/>
        </w:rPr>
      </w:pPr>
    </w:p>
    <w:p w:rsidR="002F7C5D" w:rsidRDefault="002F7C5D" w:rsidP="008E009D">
      <w:pPr>
        <w:spacing w:line="240" w:lineRule="auto"/>
        <w:rPr>
          <w:b/>
          <w:i/>
        </w:rPr>
      </w:pPr>
    </w:p>
    <w:p w:rsidR="002F7C5D" w:rsidRDefault="002F7C5D" w:rsidP="008E009D">
      <w:pPr>
        <w:spacing w:line="240" w:lineRule="auto"/>
        <w:rPr>
          <w:b/>
          <w:i/>
        </w:rPr>
      </w:pPr>
    </w:p>
    <w:p w:rsidR="00C735F2" w:rsidRPr="00E718EE" w:rsidRDefault="00C735F2" w:rsidP="008E009D">
      <w:pPr>
        <w:spacing w:line="240" w:lineRule="auto"/>
        <w:rPr>
          <w:b/>
          <w:i/>
        </w:rPr>
      </w:pPr>
      <w:proofErr w:type="spellStart"/>
      <w:r w:rsidRPr="00E718EE">
        <w:rPr>
          <w:b/>
          <w:i/>
        </w:rPr>
        <w:lastRenderedPageBreak/>
        <w:t>Samlesbury</w:t>
      </w:r>
      <w:proofErr w:type="spellEnd"/>
      <w:r w:rsidRPr="00E718EE">
        <w:rPr>
          <w:b/>
          <w:i/>
        </w:rPr>
        <w:t xml:space="preserve"> Aerospace Enterprise Zone</w:t>
      </w:r>
      <w:r w:rsidR="00AB1F41" w:rsidRPr="00E718EE">
        <w:rPr>
          <w:b/>
          <w:i/>
        </w:rPr>
        <w:t xml:space="preserve"> (SAEZ)</w:t>
      </w:r>
    </w:p>
    <w:p w:rsidR="00C735F2" w:rsidRDefault="00C735F2" w:rsidP="008E009D">
      <w:pPr>
        <w:spacing w:line="240" w:lineRule="auto"/>
        <w:rPr>
          <w:bCs/>
        </w:rPr>
      </w:pPr>
    </w:p>
    <w:p w:rsidR="00AB1F41" w:rsidRDefault="00AB1F41" w:rsidP="008E009D">
      <w:pPr>
        <w:spacing w:line="240" w:lineRule="auto"/>
        <w:ind w:left="0" w:firstLine="0"/>
        <w:rPr>
          <w:b/>
        </w:rPr>
      </w:pPr>
      <w:r>
        <w:rPr>
          <w:b/>
        </w:rPr>
        <w:t>Progress to Date</w:t>
      </w:r>
    </w:p>
    <w:p w:rsidR="00AB1F41" w:rsidRDefault="00AB1F41" w:rsidP="008E009D">
      <w:pPr>
        <w:spacing w:line="240" w:lineRule="auto"/>
        <w:ind w:left="0" w:firstLine="0"/>
        <w:rPr>
          <w:b/>
        </w:rPr>
      </w:pPr>
    </w:p>
    <w:p w:rsidR="00C735F2" w:rsidRPr="00AB1F41" w:rsidRDefault="00C735F2" w:rsidP="008E009D">
      <w:pPr>
        <w:spacing w:line="240" w:lineRule="auto"/>
        <w:ind w:left="0" w:firstLine="0"/>
        <w:rPr>
          <w:u w:val="single"/>
        </w:rPr>
      </w:pPr>
      <w:r w:rsidRPr="00AB1F41">
        <w:rPr>
          <w:u w:val="single"/>
        </w:rPr>
        <w:t>Commercial Development Framework</w:t>
      </w:r>
    </w:p>
    <w:p w:rsidR="00C735F2" w:rsidRDefault="00C735F2" w:rsidP="008E009D">
      <w:pPr>
        <w:spacing w:line="240" w:lineRule="auto"/>
        <w:ind w:left="0" w:firstLine="0"/>
        <w:rPr>
          <w:b/>
          <w:bCs/>
        </w:rPr>
      </w:pPr>
      <w:r>
        <w:t>The site's Commercial Development Framework, completed in early 2016</w:t>
      </w:r>
      <w:r w:rsidR="00AB1F41">
        <w:t>,</w:t>
      </w:r>
      <w:r>
        <w:t xml:space="preserve"> identified the optimum location for the site's access road and the best configuration of potential commercial plots to optimise development potential and to cater for a range of sizes and types of commercial units on site in support of the Advanced Engineering and Manufacturing sector. The development/delivery options for the plots/site remain flexible to accommodate market requirements.</w:t>
      </w:r>
    </w:p>
    <w:p w:rsidR="00C735F2" w:rsidRDefault="00C735F2" w:rsidP="008E009D">
      <w:pPr>
        <w:spacing w:line="240" w:lineRule="auto"/>
        <w:ind w:left="0" w:firstLine="0"/>
        <w:rPr>
          <w:b/>
          <w:bCs/>
        </w:rPr>
      </w:pPr>
    </w:p>
    <w:p w:rsidR="00C735F2" w:rsidRDefault="00C735F2" w:rsidP="008E009D">
      <w:pPr>
        <w:spacing w:line="240" w:lineRule="auto"/>
        <w:ind w:left="0" w:firstLine="0"/>
        <w:rPr>
          <w:u w:val="single"/>
        </w:rPr>
      </w:pPr>
      <w:r w:rsidRPr="00AB1F41">
        <w:rPr>
          <w:u w:val="single"/>
        </w:rPr>
        <w:t xml:space="preserve">Spine Road </w:t>
      </w:r>
      <w:r w:rsidR="00AB1F41">
        <w:rPr>
          <w:u w:val="single"/>
        </w:rPr>
        <w:t xml:space="preserve">Delivery </w:t>
      </w:r>
      <w:r w:rsidRPr="00AB1F41">
        <w:rPr>
          <w:u w:val="single"/>
        </w:rPr>
        <w:t>Programme</w:t>
      </w:r>
    </w:p>
    <w:p w:rsidR="00AB1F41" w:rsidRPr="00AB1F41" w:rsidRDefault="00AB1F41" w:rsidP="008E009D">
      <w:pPr>
        <w:spacing w:line="240" w:lineRule="auto"/>
        <w:ind w:left="0" w:firstLine="0"/>
        <w:rPr>
          <w:u w:val="single"/>
        </w:rPr>
      </w:pPr>
    </w:p>
    <w:p w:rsidR="00C735F2" w:rsidRDefault="00C735F2" w:rsidP="008E009D">
      <w:pPr>
        <w:spacing w:line="240" w:lineRule="auto"/>
        <w:ind w:left="0" w:firstLine="0"/>
      </w:pPr>
      <w:r w:rsidRPr="00C31125">
        <w:t>The L</w:t>
      </w:r>
      <w:r w:rsidR="00AB1F41">
        <w:t xml:space="preserve">ancashire </w:t>
      </w:r>
      <w:r w:rsidRPr="00C31125">
        <w:t>C</w:t>
      </w:r>
      <w:r w:rsidR="00AB1F41">
        <w:t xml:space="preserve">ounty </w:t>
      </w:r>
      <w:r w:rsidRPr="00C31125">
        <w:t>C</w:t>
      </w:r>
      <w:r w:rsidR="00AB1F41">
        <w:t>ouncil</w:t>
      </w:r>
      <w:r w:rsidRPr="00C31125">
        <w:t xml:space="preserve"> </w:t>
      </w:r>
      <w:r w:rsidR="00AB1F41">
        <w:t xml:space="preserve">(LCC) </w:t>
      </w:r>
      <w:r w:rsidRPr="00C31125">
        <w:t xml:space="preserve">Highways </w:t>
      </w:r>
      <w:r>
        <w:t xml:space="preserve">programme for the spine road, now named Sir Frederick Page Way, which runs through the site </w:t>
      </w:r>
      <w:r w:rsidRPr="00C31125">
        <w:t>connecting the A</w:t>
      </w:r>
      <w:r>
        <w:t xml:space="preserve">59 to the A677 </w:t>
      </w:r>
      <w:r w:rsidRPr="00C31125">
        <w:t>remain</w:t>
      </w:r>
      <w:r>
        <w:t>s</w:t>
      </w:r>
      <w:r w:rsidRPr="00C31125">
        <w:t xml:space="preserve"> on programme to be </w:t>
      </w:r>
      <w:r>
        <w:t xml:space="preserve">completed in spring 2017. </w:t>
      </w:r>
    </w:p>
    <w:p w:rsidR="00C735F2" w:rsidRDefault="00C735F2" w:rsidP="008E009D">
      <w:pPr>
        <w:spacing w:line="240" w:lineRule="auto"/>
        <w:ind w:left="0" w:firstLine="0"/>
      </w:pPr>
    </w:p>
    <w:p w:rsidR="00C735F2" w:rsidRDefault="00C735F2" w:rsidP="008E009D">
      <w:pPr>
        <w:spacing w:line="240" w:lineRule="auto"/>
        <w:ind w:left="0" w:firstLine="0"/>
      </w:pPr>
      <w:r>
        <w:t xml:space="preserve">The final </w:t>
      </w:r>
      <w:r w:rsidRPr="00C31125">
        <w:t xml:space="preserve">work package includes the construction of the complex cross road junction </w:t>
      </w:r>
      <w:r>
        <w:t>to</w:t>
      </w:r>
      <w:r w:rsidRPr="00C31125">
        <w:t xml:space="preserve"> provide access to the SAEZ and the BAE Operational site. To ensure effective co-ordination of these works a technical working group with LCC and BAE </w:t>
      </w:r>
      <w:r w:rsidR="00AB1F41">
        <w:t xml:space="preserve">Systems </w:t>
      </w:r>
      <w:r w:rsidRPr="00C31125">
        <w:t xml:space="preserve">supported by </w:t>
      </w:r>
      <w:r w:rsidR="00AB1F41">
        <w:t>a</w:t>
      </w:r>
      <w:r w:rsidRPr="00C31125">
        <w:t xml:space="preserve"> Development Team is meeting on a regular basis to develop a comprehensive construction plan.</w:t>
      </w:r>
      <w:r>
        <w:t xml:space="preserve"> </w:t>
      </w:r>
    </w:p>
    <w:p w:rsidR="00C735F2" w:rsidRDefault="00C735F2" w:rsidP="008E009D">
      <w:pPr>
        <w:spacing w:line="240" w:lineRule="auto"/>
        <w:ind w:left="0" w:firstLine="0"/>
      </w:pPr>
    </w:p>
    <w:p w:rsidR="00C735F2" w:rsidRDefault="00C735F2" w:rsidP="008E009D">
      <w:pPr>
        <w:spacing w:line="240" w:lineRule="auto"/>
        <w:ind w:left="0" w:firstLine="0"/>
        <w:rPr>
          <w:b/>
        </w:rPr>
      </w:pPr>
      <w:r>
        <w:t>Full a</w:t>
      </w:r>
      <w:r w:rsidRPr="00C31125">
        <w:t xml:space="preserve">ccess from the A677 is now in place to the </w:t>
      </w:r>
      <w:r>
        <w:t xml:space="preserve">first </w:t>
      </w:r>
      <w:r w:rsidRPr="00C31125">
        <w:t xml:space="preserve">two </w:t>
      </w:r>
      <w:r>
        <w:t>new facilities on the SAEZ</w:t>
      </w:r>
      <w:r w:rsidR="00AB1F41">
        <w:t xml:space="preserve">. The two facilities are </w:t>
      </w:r>
      <w:r w:rsidRPr="00C31125">
        <w:t xml:space="preserve">the BAE </w:t>
      </w:r>
      <w:r w:rsidR="00AB1F41">
        <w:t xml:space="preserve">Systems </w:t>
      </w:r>
      <w:r w:rsidRPr="00C31125">
        <w:t xml:space="preserve">Academy for Skills and </w:t>
      </w:r>
      <w:r>
        <w:t xml:space="preserve">Knowledge </w:t>
      </w:r>
      <w:r w:rsidRPr="00C31125">
        <w:t>(ASK) and the Winc</w:t>
      </w:r>
      <w:r>
        <w:t>anton Defence Logistics Centre (DLC)</w:t>
      </w:r>
      <w:r w:rsidRPr="00C31125">
        <w:t>.</w:t>
      </w:r>
      <w:r>
        <w:rPr>
          <w:b/>
        </w:rPr>
        <w:t xml:space="preserve"> </w:t>
      </w:r>
    </w:p>
    <w:p w:rsidR="00C735F2" w:rsidRDefault="00C735F2" w:rsidP="008E009D">
      <w:pPr>
        <w:spacing w:line="240" w:lineRule="auto"/>
        <w:ind w:left="0" w:firstLine="0"/>
        <w:rPr>
          <w:b/>
        </w:rPr>
      </w:pPr>
    </w:p>
    <w:p w:rsidR="00C735F2" w:rsidRDefault="00C735F2" w:rsidP="008E009D">
      <w:pPr>
        <w:spacing w:line="240" w:lineRule="auto"/>
        <w:ind w:left="0" w:firstLine="0"/>
      </w:pPr>
      <w:r w:rsidRPr="00C31125">
        <w:t xml:space="preserve">The Phase 1 drainage strategy </w:t>
      </w:r>
      <w:r>
        <w:t xml:space="preserve">associated with the highway </w:t>
      </w:r>
      <w:r w:rsidR="00AB1F41">
        <w:t xml:space="preserve">has been implemented, </w:t>
      </w:r>
      <w:r w:rsidRPr="00C31125">
        <w:t>creating a series of open ditch networks and an attenuation pond.</w:t>
      </w:r>
      <w:r>
        <w:rPr>
          <w:b/>
        </w:rPr>
        <w:t xml:space="preserve"> </w:t>
      </w:r>
      <w:r>
        <w:t>Further ecological mitigation (tree planting) and landscape works (mounding) is scheduled to be undertaken in autumn 2017.</w:t>
      </w:r>
    </w:p>
    <w:p w:rsidR="00C735F2" w:rsidRDefault="00C735F2" w:rsidP="008E009D">
      <w:pPr>
        <w:spacing w:line="240" w:lineRule="auto"/>
        <w:ind w:left="0" w:firstLine="0"/>
        <w:rPr>
          <w:b/>
          <w:bCs/>
        </w:rPr>
      </w:pPr>
    </w:p>
    <w:p w:rsidR="00C735F2" w:rsidRDefault="00C735F2" w:rsidP="008E009D">
      <w:pPr>
        <w:spacing w:line="240" w:lineRule="auto"/>
        <w:ind w:left="0" w:firstLine="0"/>
        <w:rPr>
          <w:u w:val="single"/>
        </w:rPr>
      </w:pPr>
      <w:r w:rsidRPr="00AB1F41">
        <w:rPr>
          <w:u w:val="single"/>
        </w:rPr>
        <w:t>Academy for Skills and Knowledge Completion</w:t>
      </w:r>
    </w:p>
    <w:p w:rsidR="00AB1F41" w:rsidRPr="00AB1F41" w:rsidRDefault="00AB1F41" w:rsidP="008E009D">
      <w:pPr>
        <w:spacing w:line="240" w:lineRule="auto"/>
        <w:ind w:left="0" w:firstLine="0"/>
        <w:rPr>
          <w:u w:val="single"/>
        </w:rPr>
      </w:pPr>
    </w:p>
    <w:p w:rsidR="00C735F2" w:rsidRDefault="00AB1F41" w:rsidP="008E009D">
      <w:pPr>
        <w:spacing w:line="240" w:lineRule="auto"/>
        <w:ind w:left="0" w:firstLine="0"/>
      </w:pPr>
      <w:r>
        <w:t xml:space="preserve">The £16m </w:t>
      </w:r>
      <w:r w:rsidR="00C735F2">
        <w:t>7,400 m</w:t>
      </w:r>
      <w:r w:rsidRPr="00AB1F41">
        <w:rPr>
          <w:vertAlign w:val="superscript"/>
        </w:rPr>
        <w:t>2</w:t>
      </w:r>
      <w:r>
        <w:t xml:space="preserve"> ASK facility is now </w:t>
      </w:r>
      <w:r w:rsidR="00C735F2">
        <w:t>complete and was officially opened on the 1 December 2016</w:t>
      </w:r>
      <w:r>
        <w:t>. O</w:t>
      </w:r>
      <w:r w:rsidR="00C735F2">
        <w:t xml:space="preserve">ver 50 new BAE </w:t>
      </w:r>
      <w:r>
        <w:t xml:space="preserve">Systems' </w:t>
      </w:r>
      <w:r w:rsidR="00C735F2">
        <w:t xml:space="preserve">apprentices </w:t>
      </w:r>
      <w:r>
        <w:t xml:space="preserve">now occupy </w:t>
      </w:r>
      <w:r w:rsidR="00C735F2">
        <w:t>the learning space completing general and specialist practical engineering</w:t>
      </w:r>
      <w:r>
        <w:t xml:space="preserve"> learning and development</w:t>
      </w:r>
      <w:r w:rsidR="00C735F2">
        <w:t xml:space="preserve">. At any one time in the region of 60 existing apprentices will be undertaking further education training in the Academy. </w:t>
      </w:r>
    </w:p>
    <w:p w:rsidR="00C735F2" w:rsidRDefault="00C735F2" w:rsidP="008E009D">
      <w:pPr>
        <w:spacing w:line="240" w:lineRule="auto"/>
        <w:ind w:left="0" w:firstLine="0"/>
      </w:pPr>
    </w:p>
    <w:p w:rsidR="00C735F2" w:rsidRPr="00A645CC" w:rsidRDefault="00C735F2" w:rsidP="008E009D">
      <w:pPr>
        <w:spacing w:line="240" w:lineRule="auto"/>
        <w:ind w:left="0" w:firstLine="0"/>
        <w:rPr>
          <w:b/>
          <w:bCs/>
        </w:rPr>
      </w:pPr>
      <w:r>
        <w:t xml:space="preserve">On a national basis, BAE </w:t>
      </w:r>
      <w:r w:rsidR="00AB1F41">
        <w:t xml:space="preserve">Systems </w:t>
      </w:r>
      <w:r>
        <w:t>recruited 667 apprentices in the UK, of which 182 joined the military aircraft business. This 'overtraining' principle also applies to Lancash</w:t>
      </w:r>
      <w:r w:rsidR="00AB1F41">
        <w:t>ire, providing a skilled workfor</w:t>
      </w:r>
      <w:r>
        <w:t>ce market f</w:t>
      </w:r>
      <w:r w:rsidR="00AB1F41">
        <w:t xml:space="preserve">rom which </w:t>
      </w:r>
      <w:r>
        <w:t xml:space="preserve">other Lancashire businesses </w:t>
      </w:r>
      <w:r w:rsidR="00AB1F41">
        <w:t>can recruit</w:t>
      </w:r>
      <w:r>
        <w:t>. The ASK also houses 23 training staff</w:t>
      </w:r>
      <w:r w:rsidR="00AB1F41">
        <w:t xml:space="preserve"> and </w:t>
      </w:r>
      <w:r>
        <w:t>8 further office and administration staff.</w:t>
      </w:r>
    </w:p>
    <w:p w:rsidR="00C735F2" w:rsidRDefault="00C735F2" w:rsidP="008E009D">
      <w:pPr>
        <w:spacing w:after="0" w:line="240" w:lineRule="auto"/>
        <w:ind w:left="0" w:firstLine="0"/>
        <w:rPr>
          <w:b/>
        </w:rPr>
      </w:pPr>
    </w:p>
    <w:p w:rsidR="002F7C5D" w:rsidRDefault="002F7C5D" w:rsidP="008E009D">
      <w:pPr>
        <w:spacing w:after="0" w:line="240" w:lineRule="auto"/>
        <w:ind w:left="0" w:firstLine="0"/>
        <w:rPr>
          <w:b/>
        </w:rPr>
      </w:pPr>
    </w:p>
    <w:p w:rsidR="002F7C5D" w:rsidRDefault="002F7C5D" w:rsidP="008E009D">
      <w:pPr>
        <w:spacing w:after="0" w:line="240" w:lineRule="auto"/>
        <w:ind w:left="0" w:firstLine="0"/>
        <w:rPr>
          <w:b/>
        </w:rPr>
      </w:pPr>
    </w:p>
    <w:p w:rsidR="002F7C5D" w:rsidRDefault="002F7C5D" w:rsidP="008E009D">
      <w:pPr>
        <w:spacing w:after="0" w:line="240" w:lineRule="auto"/>
        <w:ind w:left="0" w:firstLine="0"/>
        <w:rPr>
          <w:b/>
        </w:rPr>
      </w:pPr>
    </w:p>
    <w:p w:rsidR="00C735F2" w:rsidRDefault="00C735F2" w:rsidP="008E009D">
      <w:pPr>
        <w:spacing w:after="0" w:line="240" w:lineRule="auto"/>
        <w:ind w:left="0" w:firstLine="0"/>
        <w:rPr>
          <w:u w:val="single"/>
        </w:rPr>
      </w:pPr>
      <w:r w:rsidRPr="00AB1F41">
        <w:rPr>
          <w:u w:val="single"/>
        </w:rPr>
        <w:lastRenderedPageBreak/>
        <w:t>Defence Logistics Facility Completion</w:t>
      </w:r>
    </w:p>
    <w:p w:rsidR="00AB1F41" w:rsidRPr="00AB1F41" w:rsidRDefault="00AB1F41" w:rsidP="008E009D">
      <w:pPr>
        <w:spacing w:after="0" w:line="240" w:lineRule="auto"/>
        <w:ind w:left="0" w:firstLine="0"/>
        <w:rPr>
          <w:u w:val="single"/>
        </w:rPr>
      </w:pPr>
    </w:p>
    <w:p w:rsidR="00C735F2" w:rsidRDefault="00C735F2" w:rsidP="008E009D">
      <w:pPr>
        <w:spacing w:after="0" w:line="240" w:lineRule="auto"/>
        <w:ind w:left="0" w:firstLine="0"/>
      </w:pPr>
      <w:r>
        <w:t>The circa £15</w:t>
      </w:r>
      <w:r w:rsidR="00AB1F41">
        <w:t>m</w:t>
      </w:r>
      <w:r>
        <w:t xml:space="preserve">, </w:t>
      </w:r>
      <w:r w:rsidRPr="00140AFE">
        <w:t>15,000</w:t>
      </w:r>
      <w:r w:rsidR="00AB1F41">
        <w:t xml:space="preserve"> m</w:t>
      </w:r>
      <w:r w:rsidR="00AB1F41" w:rsidRPr="00AB1F41">
        <w:rPr>
          <w:vertAlign w:val="superscript"/>
        </w:rPr>
        <w:t>2</w:t>
      </w:r>
      <w:r>
        <w:t xml:space="preserve"> </w:t>
      </w:r>
      <w:r w:rsidRPr="00140AFE">
        <w:t xml:space="preserve">Defence Logistics Facility </w:t>
      </w:r>
      <w:r>
        <w:t>occupied by Wincanton was practically completed in October</w:t>
      </w:r>
      <w:r w:rsidR="00AB1F41">
        <w:t xml:space="preserve"> 2016</w:t>
      </w:r>
      <w:r>
        <w:t xml:space="preserve"> and is currently being </w:t>
      </w:r>
      <w:r w:rsidRPr="00140AFE">
        <w:t>fit</w:t>
      </w:r>
      <w:r>
        <w:t xml:space="preserve">ted </w:t>
      </w:r>
      <w:r w:rsidRPr="00140AFE">
        <w:t>out</w:t>
      </w:r>
      <w:r>
        <w:t>. The building will be fully occupied by 150 Wincanton staff.</w:t>
      </w:r>
    </w:p>
    <w:p w:rsidR="00C735F2" w:rsidRDefault="00C735F2" w:rsidP="008E009D">
      <w:pPr>
        <w:spacing w:after="0" w:line="240" w:lineRule="auto"/>
        <w:ind w:left="0" w:firstLine="0"/>
      </w:pPr>
    </w:p>
    <w:p w:rsidR="00C735F2" w:rsidRPr="00AB1F41" w:rsidRDefault="00C735F2" w:rsidP="008E009D">
      <w:pPr>
        <w:spacing w:after="0" w:line="240" w:lineRule="auto"/>
        <w:ind w:left="0" w:firstLine="0"/>
        <w:rPr>
          <w:u w:val="single"/>
        </w:rPr>
      </w:pPr>
      <w:r w:rsidRPr="00AB1F41">
        <w:rPr>
          <w:u w:val="single"/>
        </w:rPr>
        <w:t xml:space="preserve">Appointment of Commercial Property Agents </w:t>
      </w:r>
    </w:p>
    <w:p w:rsidR="00AB1F41" w:rsidRDefault="00AB1F41" w:rsidP="008E009D">
      <w:pPr>
        <w:spacing w:after="0" w:line="240" w:lineRule="auto"/>
        <w:ind w:left="0" w:firstLine="0"/>
      </w:pPr>
    </w:p>
    <w:p w:rsidR="00C735F2" w:rsidRDefault="00C735F2" w:rsidP="008E009D">
      <w:pPr>
        <w:spacing w:after="0" w:line="240" w:lineRule="auto"/>
        <w:ind w:left="0" w:firstLine="0"/>
      </w:pPr>
      <w:r>
        <w:t>In spring 2016 Colliers International Property Agents were appointed</w:t>
      </w:r>
      <w:r w:rsidRPr="00DA3155">
        <w:t xml:space="preserve"> </w:t>
      </w:r>
      <w:r>
        <w:t xml:space="preserve">to market the SAEZ. Colliers have continued to work with the LEP, Marketing Lancashire and the County Council to develop a comprehensive marketing strategy for the site. Colliers are engaged in discussions with a range of confidential enquiries. Updates </w:t>
      </w:r>
      <w:r w:rsidR="00AB1F41">
        <w:t xml:space="preserve">are </w:t>
      </w:r>
      <w:r>
        <w:t xml:space="preserve">provided to the </w:t>
      </w:r>
      <w:r w:rsidR="00AB1F41">
        <w:t xml:space="preserve">Enterprise Zone Governance </w:t>
      </w:r>
      <w:r>
        <w:t>Committee, subject to individual business cases being made.</w:t>
      </w:r>
    </w:p>
    <w:p w:rsidR="004828F8" w:rsidRDefault="004828F8" w:rsidP="008E009D">
      <w:pPr>
        <w:spacing w:after="0" w:line="240" w:lineRule="auto"/>
        <w:ind w:left="0" w:firstLine="0"/>
      </w:pPr>
    </w:p>
    <w:p w:rsidR="004828F8" w:rsidRPr="004828F8" w:rsidRDefault="004828F8" w:rsidP="004828F8">
      <w:pPr>
        <w:spacing w:after="0" w:line="240" w:lineRule="auto"/>
        <w:ind w:left="0" w:firstLine="0"/>
        <w:rPr>
          <w:u w:val="single"/>
        </w:rPr>
      </w:pPr>
      <w:r w:rsidRPr="004828F8">
        <w:rPr>
          <w:u w:val="single"/>
        </w:rPr>
        <w:t>Branding</w:t>
      </w:r>
    </w:p>
    <w:p w:rsidR="004828F8" w:rsidRDefault="004828F8" w:rsidP="004828F8">
      <w:pPr>
        <w:spacing w:after="0" w:line="240" w:lineRule="auto"/>
        <w:ind w:left="0" w:firstLine="0"/>
      </w:pPr>
    </w:p>
    <w:p w:rsidR="004828F8" w:rsidRDefault="004828F8" w:rsidP="004828F8">
      <w:pPr>
        <w:spacing w:after="0" w:line="240" w:lineRule="auto"/>
        <w:ind w:left="0" w:firstLine="0"/>
      </w:pPr>
      <w:r>
        <w:t xml:space="preserve">The SAEZ is the first Enterprise Zone to have a brochure branded in accordance with the new and recently approved LEP Branding Guidelines. A dedicated website is now live and will continue to be developed </w:t>
      </w:r>
      <w:hyperlink r:id="rId8" w:history="1">
        <w:r w:rsidRPr="003364F0">
          <w:rPr>
            <w:rStyle w:val="Hyperlink"/>
          </w:rPr>
          <w:t>www.samlesburyaerospaceEZ.com</w:t>
        </w:r>
      </w:hyperlink>
      <w:r>
        <w:t>.</w:t>
      </w:r>
    </w:p>
    <w:p w:rsidR="004828F8" w:rsidRDefault="004828F8" w:rsidP="004828F8">
      <w:pPr>
        <w:spacing w:after="0" w:line="240" w:lineRule="auto"/>
        <w:ind w:left="0" w:firstLine="0"/>
      </w:pPr>
      <w:r>
        <w:t>Site marketing and letting signs will be installed early in 2017 in tandem with further marketing of the site's potential as a high quality advanced manufacturing and engineering business destination.</w:t>
      </w:r>
    </w:p>
    <w:p w:rsidR="00C735F2" w:rsidRDefault="00C735F2" w:rsidP="008E009D">
      <w:pPr>
        <w:spacing w:after="0" w:line="240" w:lineRule="auto"/>
        <w:ind w:left="0" w:firstLine="0"/>
      </w:pPr>
    </w:p>
    <w:p w:rsidR="00C735F2" w:rsidRPr="00AB1F41" w:rsidRDefault="00C735F2" w:rsidP="008E009D">
      <w:pPr>
        <w:spacing w:line="240" w:lineRule="auto"/>
        <w:ind w:left="0" w:firstLine="0"/>
        <w:rPr>
          <w:u w:val="single"/>
        </w:rPr>
      </w:pPr>
      <w:r w:rsidRPr="00AB1F41">
        <w:rPr>
          <w:u w:val="single"/>
        </w:rPr>
        <w:t>Current Challenges</w:t>
      </w:r>
    </w:p>
    <w:p w:rsidR="00AB1F41" w:rsidRDefault="00AB1F41" w:rsidP="008E009D">
      <w:pPr>
        <w:spacing w:line="240" w:lineRule="auto"/>
        <w:ind w:left="0" w:firstLine="0"/>
      </w:pPr>
    </w:p>
    <w:p w:rsidR="00C735F2" w:rsidRDefault="00C735F2" w:rsidP="008E009D">
      <w:pPr>
        <w:spacing w:line="240" w:lineRule="auto"/>
        <w:ind w:left="0" w:firstLine="0"/>
      </w:pPr>
      <w:r>
        <w:t xml:space="preserve">The focus over the next 6 months will be to complete the Spine Road in a timely manner. This work package will include the construction of the complex cross road junction which will provide access to the SAEZ and the BAE </w:t>
      </w:r>
      <w:r w:rsidR="00AB1F41">
        <w:t xml:space="preserve">Systems' </w:t>
      </w:r>
      <w:r>
        <w:t>Operational site.</w:t>
      </w:r>
    </w:p>
    <w:p w:rsidR="00C735F2" w:rsidRDefault="00C735F2" w:rsidP="008E009D">
      <w:pPr>
        <w:spacing w:line="240" w:lineRule="auto"/>
        <w:ind w:left="0" w:firstLine="0"/>
      </w:pPr>
    </w:p>
    <w:p w:rsidR="00C735F2" w:rsidRDefault="00C735F2" w:rsidP="008E009D">
      <w:pPr>
        <w:spacing w:line="240" w:lineRule="auto"/>
        <w:ind w:left="0" w:firstLine="0"/>
      </w:pPr>
      <w:r>
        <w:t>To ensure effective co-ordination of works</w:t>
      </w:r>
      <w:r w:rsidR="00AB1F41">
        <w:t>,</w:t>
      </w:r>
      <w:r>
        <w:t xml:space="preserve"> a technical working group with LCC and BAE </w:t>
      </w:r>
      <w:r w:rsidR="00AB1F41">
        <w:t xml:space="preserve">Systems, and </w:t>
      </w:r>
      <w:r>
        <w:t>supported by consultants</w:t>
      </w:r>
      <w:r w:rsidR="00AB1F41">
        <w:t xml:space="preserve">, </w:t>
      </w:r>
      <w:r>
        <w:t xml:space="preserve">is meeting on a regular basis to develop a comprehensive construction plan. </w:t>
      </w:r>
    </w:p>
    <w:p w:rsidR="00C735F2" w:rsidRDefault="00C735F2" w:rsidP="008E009D">
      <w:pPr>
        <w:spacing w:line="240" w:lineRule="auto"/>
        <w:ind w:left="0" w:firstLine="0"/>
      </w:pPr>
    </w:p>
    <w:p w:rsidR="00C735F2" w:rsidRDefault="00C735F2" w:rsidP="008E009D">
      <w:pPr>
        <w:spacing w:line="240" w:lineRule="auto"/>
        <w:ind w:left="0" w:firstLine="0"/>
      </w:pPr>
      <w:r>
        <w:t>LCC</w:t>
      </w:r>
      <w:r w:rsidR="00AB1F41">
        <w:t xml:space="preserve">'s Highways Team is </w:t>
      </w:r>
      <w:r>
        <w:t>also developing proposals to undertake additional off site works in the vicinity of the Samlesbury site, the implementation of which is dependent upon statutory processes. These works are envisaged to be undertaken in Spring/Summer 2017. An update on the progress of the proposals has been published on the LEP website.</w:t>
      </w:r>
    </w:p>
    <w:p w:rsidR="00C735F2" w:rsidRDefault="00C735F2" w:rsidP="008E009D">
      <w:pPr>
        <w:spacing w:line="240" w:lineRule="auto"/>
        <w:ind w:left="0" w:firstLine="0"/>
      </w:pPr>
    </w:p>
    <w:p w:rsidR="00C735F2" w:rsidRDefault="00C735F2" w:rsidP="008E009D">
      <w:pPr>
        <w:spacing w:line="240" w:lineRule="auto"/>
        <w:ind w:left="0" w:firstLine="0"/>
      </w:pPr>
      <w:r>
        <w:t xml:space="preserve">The development of the broader SAEZ site will be reliant upon the delivery of further essential infrastructure to enable the delivery of commercial business plots. Specialist consultants continue to advise the development team in respect of this matter and future reports will be presented to the Committee for consideration. </w:t>
      </w:r>
    </w:p>
    <w:p w:rsidR="00C735F2" w:rsidRDefault="00C735F2" w:rsidP="008E009D">
      <w:pPr>
        <w:spacing w:line="240" w:lineRule="auto"/>
        <w:ind w:left="0" w:firstLine="0"/>
      </w:pPr>
    </w:p>
    <w:p w:rsidR="00C735F2" w:rsidRDefault="00C735F2" w:rsidP="008E009D">
      <w:pPr>
        <w:spacing w:line="240" w:lineRule="auto"/>
        <w:ind w:left="0" w:firstLine="0"/>
      </w:pPr>
      <w:r>
        <w:t xml:space="preserve">The marketing of the SAEZ will continue to be aligned with the Lancashire Advanced Manufacturing &amp; Energy Cluster. </w:t>
      </w:r>
    </w:p>
    <w:p w:rsidR="00C735F2" w:rsidRDefault="00C735F2" w:rsidP="008E009D">
      <w:pPr>
        <w:spacing w:line="240" w:lineRule="auto"/>
        <w:ind w:left="0" w:firstLine="0"/>
        <w:rPr>
          <w:color w:val="auto"/>
        </w:rPr>
      </w:pPr>
    </w:p>
    <w:p w:rsidR="002F7C5D" w:rsidRPr="00F44CC2" w:rsidRDefault="002F7C5D" w:rsidP="008E009D">
      <w:pPr>
        <w:spacing w:line="240" w:lineRule="auto"/>
        <w:ind w:left="0" w:firstLine="0"/>
        <w:rPr>
          <w:color w:val="auto"/>
        </w:rPr>
      </w:pPr>
    </w:p>
    <w:p w:rsidR="00C735F2" w:rsidRPr="00AB1F41" w:rsidRDefault="00C735F2" w:rsidP="008E009D">
      <w:pPr>
        <w:spacing w:line="240" w:lineRule="auto"/>
        <w:rPr>
          <w:color w:val="auto"/>
          <w:u w:val="single"/>
        </w:rPr>
      </w:pPr>
      <w:r w:rsidRPr="00AB1F41">
        <w:rPr>
          <w:color w:val="auto"/>
          <w:u w:val="single"/>
        </w:rPr>
        <w:lastRenderedPageBreak/>
        <w:t>Future issues</w:t>
      </w:r>
    </w:p>
    <w:p w:rsidR="00C735F2" w:rsidRDefault="00C735F2" w:rsidP="008E009D">
      <w:pPr>
        <w:spacing w:line="240" w:lineRule="auto"/>
        <w:ind w:left="360" w:firstLine="0"/>
        <w:rPr>
          <w:b/>
          <w:color w:val="auto"/>
        </w:rPr>
      </w:pPr>
    </w:p>
    <w:p w:rsidR="00C735F2" w:rsidRPr="00F44CC2" w:rsidRDefault="00C735F2" w:rsidP="008E009D">
      <w:pPr>
        <w:spacing w:line="240" w:lineRule="auto"/>
        <w:ind w:left="0" w:firstLine="0"/>
        <w:rPr>
          <w:color w:val="auto"/>
        </w:rPr>
      </w:pPr>
      <w:r>
        <w:rPr>
          <w:color w:val="auto"/>
        </w:rPr>
        <w:t xml:space="preserve">There is a continued need to ensure a co-ordinated and targeted marketing and delivery programme to secure end users and deliver development on site. </w:t>
      </w:r>
    </w:p>
    <w:p w:rsidR="00C735F2" w:rsidRPr="004645FE" w:rsidRDefault="00C735F2" w:rsidP="00AB1F41">
      <w:pPr>
        <w:spacing w:line="240" w:lineRule="auto"/>
        <w:rPr>
          <w:i/>
          <w:color w:val="auto"/>
        </w:rPr>
      </w:pPr>
      <w:r w:rsidRPr="004645FE">
        <w:rPr>
          <w:i/>
          <w:color w:val="auto"/>
        </w:rPr>
        <w:t>Financial and non-financial KPIs including programme spend to date</w:t>
      </w:r>
      <w:r w:rsidR="00AB1F41" w:rsidRPr="004645FE">
        <w:rPr>
          <w:i/>
          <w:color w:val="auto"/>
        </w:rPr>
        <w:t>:</w:t>
      </w:r>
      <w:r w:rsidRPr="004645FE">
        <w:rPr>
          <w:i/>
          <w:color w:val="auto"/>
        </w:rPr>
        <w:t xml:space="preserve"> </w:t>
      </w:r>
    </w:p>
    <w:p w:rsidR="00C735F2" w:rsidRDefault="00C735F2" w:rsidP="008E009D">
      <w:pPr>
        <w:spacing w:line="240" w:lineRule="auto"/>
        <w:ind w:hanging="182"/>
        <w:rPr>
          <w:b/>
          <w:color w:val="auto"/>
        </w:rPr>
      </w:pPr>
    </w:p>
    <w:tbl>
      <w:tblPr>
        <w:tblStyle w:val="TableGrid"/>
        <w:tblW w:w="0" w:type="auto"/>
        <w:tblInd w:w="137" w:type="dxa"/>
        <w:tblLook w:val="04A0" w:firstRow="1" w:lastRow="0" w:firstColumn="1" w:lastColumn="0" w:noHBand="0" w:noVBand="1"/>
      </w:tblPr>
      <w:tblGrid>
        <w:gridCol w:w="3207"/>
        <w:gridCol w:w="1418"/>
        <w:gridCol w:w="1418"/>
        <w:gridCol w:w="1418"/>
        <w:gridCol w:w="1418"/>
      </w:tblGrid>
      <w:tr w:rsidR="003E2779" w:rsidTr="00C735F2">
        <w:tc>
          <w:tcPr>
            <w:tcW w:w="4314" w:type="dxa"/>
            <w:shd w:val="clear" w:color="auto" w:fill="D9D9D9" w:themeFill="background1" w:themeFillShade="D9"/>
          </w:tcPr>
          <w:p w:rsidR="00C735F2" w:rsidRDefault="00C735F2" w:rsidP="008E009D">
            <w:pPr>
              <w:spacing w:line="240" w:lineRule="auto"/>
              <w:ind w:left="0" w:firstLine="0"/>
              <w:rPr>
                <w:b/>
                <w:color w:val="auto"/>
              </w:rPr>
            </w:pPr>
          </w:p>
        </w:tc>
        <w:tc>
          <w:tcPr>
            <w:tcW w:w="1084" w:type="dxa"/>
            <w:shd w:val="clear" w:color="auto" w:fill="D9D9D9" w:themeFill="background1" w:themeFillShade="D9"/>
          </w:tcPr>
          <w:p w:rsidR="00C735F2" w:rsidRDefault="00C735F2" w:rsidP="008E009D">
            <w:pPr>
              <w:spacing w:line="240" w:lineRule="auto"/>
              <w:ind w:left="0" w:firstLine="0"/>
              <w:rPr>
                <w:b/>
                <w:color w:val="auto"/>
              </w:rPr>
            </w:pPr>
            <w:r>
              <w:rPr>
                <w:b/>
                <w:color w:val="auto"/>
              </w:rPr>
              <w:t>Q1</w:t>
            </w:r>
          </w:p>
        </w:tc>
        <w:tc>
          <w:tcPr>
            <w:tcW w:w="1418" w:type="dxa"/>
            <w:shd w:val="clear" w:color="auto" w:fill="D9D9D9" w:themeFill="background1" w:themeFillShade="D9"/>
          </w:tcPr>
          <w:p w:rsidR="00C735F2" w:rsidRDefault="00C735F2" w:rsidP="008E009D">
            <w:pPr>
              <w:spacing w:line="240" w:lineRule="auto"/>
              <w:ind w:left="0" w:firstLine="0"/>
              <w:rPr>
                <w:b/>
                <w:color w:val="auto"/>
              </w:rPr>
            </w:pPr>
            <w:r>
              <w:rPr>
                <w:b/>
                <w:color w:val="auto"/>
              </w:rPr>
              <w:t>Q2</w:t>
            </w:r>
          </w:p>
        </w:tc>
        <w:tc>
          <w:tcPr>
            <w:tcW w:w="1218" w:type="dxa"/>
            <w:shd w:val="clear" w:color="auto" w:fill="D9D9D9" w:themeFill="background1" w:themeFillShade="D9"/>
          </w:tcPr>
          <w:p w:rsidR="00C735F2" w:rsidRDefault="00C735F2" w:rsidP="008E009D">
            <w:pPr>
              <w:spacing w:line="240" w:lineRule="auto"/>
              <w:ind w:left="0" w:firstLine="0"/>
              <w:rPr>
                <w:b/>
                <w:color w:val="auto"/>
              </w:rPr>
            </w:pPr>
            <w:r>
              <w:rPr>
                <w:b/>
                <w:color w:val="auto"/>
              </w:rPr>
              <w:t>Q3</w:t>
            </w:r>
          </w:p>
        </w:tc>
        <w:tc>
          <w:tcPr>
            <w:tcW w:w="845" w:type="dxa"/>
            <w:shd w:val="clear" w:color="auto" w:fill="D9D9D9" w:themeFill="background1" w:themeFillShade="D9"/>
          </w:tcPr>
          <w:p w:rsidR="00C735F2" w:rsidRDefault="00C735F2" w:rsidP="008E009D">
            <w:pPr>
              <w:spacing w:line="240" w:lineRule="auto"/>
              <w:ind w:left="0" w:firstLine="0"/>
              <w:rPr>
                <w:b/>
                <w:color w:val="auto"/>
              </w:rPr>
            </w:pPr>
            <w:r>
              <w:rPr>
                <w:b/>
                <w:color w:val="auto"/>
              </w:rPr>
              <w:t>Q4</w:t>
            </w:r>
          </w:p>
        </w:tc>
      </w:tr>
      <w:tr w:rsidR="003E2779" w:rsidTr="00C735F2">
        <w:tc>
          <w:tcPr>
            <w:tcW w:w="4314" w:type="dxa"/>
          </w:tcPr>
          <w:p w:rsidR="00C735F2" w:rsidRPr="0082140B" w:rsidRDefault="00C735F2" w:rsidP="008E009D">
            <w:pPr>
              <w:spacing w:line="240" w:lineRule="auto"/>
              <w:ind w:left="0" w:firstLine="0"/>
              <w:rPr>
                <w:color w:val="auto"/>
              </w:rPr>
            </w:pPr>
            <w:r w:rsidRPr="0082140B">
              <w:rPr>
                <w:color w:val="auto"/>
              </w:rPr>
              <w:t>The value of any new public sector capital investment on the zone</w:t>
            </w:r>
          </w:p>
        </w:tc>
        <w:tc>
          <w:tcPr>
            <w:tcW w:w="1084" w:type="dxa"/>
          </w:tcPr>
          <w:p w:rsidR="00C735F2" w:rsidRPr="0082140B" w:rsidRDefault="00C735F2" w:rsidP="008E009D">
            <w:pPr>
              <w:spacing w:line="240" w:lineRule="auto"/>
            </w:pPr>
            <w:r w:rsidRPr="0082140B">
              <w:t>£50,000</w:t>
            </w:r>
          </w:p>
        </w:tc>
        <w:tc>
          <w:tcPr>
            <w:tcW w:w="1418" w:type="dxa"/>
          </w:tcPr>
          <w:p w:rsidR="00C735F2" w:rsidRPr="0082140B" w:rsidRDefault="00C735F2" w:rsidP="008E009D">
            <w:pPr>
              <w:spacing w:line="240" w:lineRule="auto"/>
            </w:pPr>
            <w:r w:rsidRPr="0082140B">
              <w:t>£2,615,874</w:t>
            </w:r>
          </w:p>
        </w:tc>
        <w:tc>
          <w:tcPr>
            <w:tcW w:w="1218" w:type="dxa"/>
          </w:tcPr>
          <w:p w:rsidR="00C735F2" w:rsidRPr="0082140B" w:rsidRDefault="00C735F2" w:rsidP="008E009D">
            <w:pPr>
              <w:spacing w:line="240" w:lineRule="auto"/>
              <w:ind w:left="0" w:firstLine="0"/>
              <w:rPr>
                <w:color w:val="auto"/>
              </w:rPr>
            </w:pPr>
            <w:r w:rsidRPr="0082140B">
              <w:rPr>
                <w:color w:val="auto"/>
              </w:rPr>
              <w:t>£300,000</w:t>
            </w:r>
          </w:p>
        </w:tc>
        <w:tc>
          <w:tcPr>
            <w:tcW w:w="845" w:type="dxa"/>
          </w:tcPr>
          <w:p w:rsidR="00C735F2" w:rsidRDefault="00C735F2" w:rsidP="008E009D">
            <w:pPr>
              <w:spacing w:line="240" w:lineRule="auto"/>
              <w:ind w:left="0" w:firstLine="0"/>
              <w:rPr>
                <w:b/>
                <w:color w:val="auto"/>
              </w:rPr>
            </w:pPr>
          </w:p>
        </w:tc>
      </w:tr>
      <w:tr w:rsidR="003E2779" w:rsidTr="00C735F2">
        <w:tc>
          <w:tcPr>
            <w:tcW w:w="4314" w:type="dxa"/>
          </w:tcPr>
          <w:p w:rsidR="00C735F2" w:rsidRPr="0082140B" w:rsidRDefault="00C735F2" w:rsidP="008E009D">
            <w:pPr>
              <w:spacing w:line="240" w:lineRule="auto"/>
              <w:ind w:left="0" w:firstLine="0"/>
              <w:rPr>
                <w:color w:val="auto"/>
              </w:rPr>
            </w:pPr>
            <w:r>
              <w:rPr>
                <w:color w:val="auto"/>
              </w:rPr>
              <w:t>T</w:t>
            </w:r>
            <w:r w:rsidRPr="0082140B">
              <w:rPr>
                <w:color w:val="auto"/>
              </w:rPr>
              <w:t>he value of any new private sector investment on the zone</w:t>
            </w:r>
          </w:p>
        </w:tc>
        <w:tc>
          <w:tcPr>
            <w:tcW w:w="1084" w:type="dxa"/>
          </w:tcPr>
          <w:p w:rsidR="00C735F2" w:rsidRPr="0082140B" w:rsidRDefault="00C735F2" w:rsidP="008E009D">
            <w:pPr>
              <w:spacing w:line="240" w:lineRule="auto"/>
            </w:pPr>
            <w:r w:rsidRPr="0082140B">
              <w:t>£6,000,000</w:t>
            </w:r>
          </w:p>
        </w:tc>
        <w:tc>
          <w:tcPr>
            <w:tcW w:w="1418" w:type="dxa"/>
          </w:tcPr>
          <w:p w:rsidR="00C735F2" w:rsidRPr="0082140B" w:rsidRDefault="00C735F2" w:rsidP="008E009D">
            <w:pPr>
              <w:spacing w:line="240" w:lineRule="auto"/>
            </w:pPr>
          </w:p>
        </w:tc>
        <w:tc>
          <w:tcPr>
            <w:tcW w:w="1218" w:type="dxa"/>
          </w:tcPr>
          <w:p w:rsidR="00C735F2" w:rsidRPr="0082140B" w:rsidRDefault="00C735F2" w:rsidP="008E009D">
            <w:pPr>
              <w:spacing w:line="240" w:lineRule="auto"/>
              <w:ind w:left="0" w:firstLine="0"/>
              <w:rPr>
                <w:color w:val="auto"/>
              </w:rPr>
            </w:pPr>
            <w:r>
              <w:rPr>
                <w:color w:val="auto"/>
              </w:rPr>
              <w:t>£1,500,000</w:t>
            </w:r>
          </w:p>
        </w:tc>
        <w:tc>
          <w:tcPr>
            <w:tcW w:w="845" w:type="dxa"/>
          </w:tcPr>
          <w:p w:rsidR="00C735F2" w:rsidRPr="0042462F" w:rsidRDefault="00C735F2" w:rsidP="008E009D">
            <w:pPr>
              <w:spacing w:line="240" w:lineRule="auto"/>
              <w:ind w:left="0" w:firstLine="0"/>
              <w:rPr>
                <w:color w:val="auto"/>
              </w:rPr>
            </w:pPr>
            <w:r w:rsidRPr="0042462F">
              <w:rPr>
                <w:color w:val="auto"/>
              </w:rPr>
              <w:t>£1,010,000</w:t>
            </w:r>
          </w:p>
        </w:tc>
      </w:tr>
    </w:tbl>
    <w:p w:rsidR="00C735F2" w:rsidRPr="001F67B9" w:rsidRDefault="00C735F2" w:rsidP="008E009D">
      <w:pPr>
        <w:spacing w:line="240" w:lineRule="auto"/>
        <w:ind w:hanging="182"/>
        <w:rPr>
          <w:b/>
          <w:color w:val="auto"/>
        </w:rPr>
      </w:pPr>
    </w:p>
    <w:p w:rsidR="00C735F2" w:rsidRPr="004645FE" w:rsidRDefault="00C735F2" w:rsidP="00AB1F41">
      <w:pPr>
        <w:spacing w:line="240" w:lineRule="auto"/>
        <w:ind w:left="0" w:firstLine="0"/>
        <w:rPr>
          <w:i/>
          <w:color w:val="auto"/>
        </w:rPr>
      </w:pPr>
      <w:r w:rsidRPr="004645FE">
        <w:rPr>
          <w:i/>
          <w:color w:val="auto"/>
        </w:rPr>
        <w:t>Funding or resources leveraged - NA</w:t>
      </w:r>
    </w:p>
    <w:p w:rsidR="00C735F2" w:rsidRPr="004645FE" w:rsidRDefault="00C735F2" w:rsidP="008E009D">
      <w:pPr>
        <w:spacing w:line="240" w:lineRule="auto"/>
        <w:ind w:hanging="182"/>
        <w:rPr>
          <w:b/>
          <w:i/>
          <w:color w:val="auto"/>
        </w:rPr>
      </w:pPr>
    </w:p>
    <w:p w:rsidR="00C735F2" w:rsidRPr="004645FE" w:rsidRDefault="00C735F2" w:rsidP="00AB1F41">
      <w:pPr>
        <w:spacing w:line="240" w:lineRule="auto"/>
        <w:ind w:left="0" w:firstLine="0"/>
        <w:rPr>
          <w:i/>
          <w:color w:val="auto"/>
        </w:rPr>
      </w:pPr>
      <w:r w:rsidRPr="004645FE">
        <w:rPr>
          <w:i/>
          <w:color w:val="auto"/>
        </w:rPr>
        <w:t>Jobs created</w:t>
      </w:r>
      <w:r w:rsidR="004645FE">
        <w:rPr>
          <w:i/>
          <w:color w:val="auto"/>
        </w:rPr>
        <w:t>:</w:t>
      </w:r>
    </w:p>
    <w:p w:rsidR="00C735F2" w:rsidRPr="0082140B" w:rsidRDefault="00C735F2" w:rsidP="008E009D">
      <w:pPr>
        <w:spacing w:line="240" w:lineRule="auto"/>
        <w:ind w:left="0" w:firstLine="0"/>
        <w:rPr>
          <w:b/>
          <w:color w:val="auto"/>
        </w:rPr>
      </w:pPr>
    </w:p>
    <w:tbl>
      <w:tblPr>
        <w:tblStyle w:val="TableGrid"/>
        <w:tblW w:w="0" w:type="auto"/>
        <w:tblInd w:w="137" w:type="dxa"/>
        <w:tblLook w:val="04A0" w:firstRow="1" w:lastRow="0" w:firstColumn="1" w:lastColumn="0" w:noHBand="0" w:noVBand="1"/>
      </w:tblPr>
      <w:tblGrid>
        <w:gridCol w:w="4314"/>
        <w:gridCol w:w="1084"/>
        <w:gridCol w:w="1418"/>
        <w:gridCol w:w="1218"/>
        <w:gridCol w:w="845"/>
      </w:tblGrid>
      <w:tr w:rsidR="003E2779" w:rsidTr="00C735F2">
        <w:tc>
          <w:tcPr>
            <w:tcW w:w="4314" w:type="dxa"/>
            <w:shd w:val="clear" w:color="auto" w:fill="D9D9D9" w:themeFill="background1" w:themeFillShade="D9"/>
          </w:tcPr>
          <w:p w:rsidR="00C735F2" w:rsidRDefault="00C735F2" w:rsidP="008E009D">
            <w:pPr>
              <w:spacing w:line="240" w:lineRule="auto"/>
              <w:ind w:left="0" w:firstLine="0"/>
              <w:rPr>
                <w:b/>
                <w:color w:val="auto"/>
              </w:rPr>
            </w:pPr>
          </w:p>
        </w:tc>
        <w:tc>
          <w:tcPr>
            <w:tcW w:w="1084" w:type="dxa"/>
            <w:shd w:val="clear" w:color="auto" w:fill="D9D9D9" w:themeFill="background1" w:themeFillShade="D9"/>
          </w:tcPr>
          <w:p w:rsidR="00C735F2" w:rsidRDefault="00C735F2" w:rsidP="008E009D">
            <w:pPr>
              <w:spacing w:line="240" w:lineRule="auto"/>
              <w:ind w:left="0" w:firstLine="0"/>
              <w:rPr>
                <w:b/>
                <w:color w:val="auto"/>
              </w:rPr>
            </w:pPr>
            <w:r>
              <w:rPr>
                <w:b/>
                <w:color w:val="auto"/>
              </w:rPr>
              <w:t>Q1</w:t>
            </w:r>
          </w:p>
        </w:tc>
        <w:tc>
          <w:tcPr>
            <w:tcW w:w="1418" w:type="dxa"/>
            <w:shd w:val="clear" w:color="auto" w:fill="D9D9D9" w:themeFill="background1" w:themeFillShade="D9"/>
          </w:tcPr>
          <w:p w:rsidR="00C735F2" w:rsidRDefault="00C735F2" w:rsidP="008E009D">
            <w:pPr>
              <w:spacing w:line="240" w:lineRule="auto"/>
              <w:ind w:left="0" w:firstLine="0"/>
              <w:rPr>
                <w:b/>
                <w:color w:val="auto"/>
              </w:rPr>
            </w:pPr>
            <w:r>
              <w:rPr>
                <w:b/>
                <w:color w:val="auto"/>
              </w:rPr>
              <w:t>Q2</w:t>
            </w:r>
          </w:p>
        </w:tc>
        <w:tc>
          <w:tcPr>
            <w:tcW w:w="1218" w:type="dxa"/>
            <w:shd w:val="clear" w:color="auto" w:fill="D9D9D9" w:themeFill="background1" w:themeFillShade="D9"/>
          </w:tcPr>
          <w:p w:rsidR="00C735F2" w:rsidRDefault="00C735F2" w:rsidP="008E009D">
            <w:pPr>
              <w:spacing w:line="240" w:lineRule="auto"/>
              <w:ind w:left="0" w:firstLine="0"/>
              <w:rPr>
                <w:b/>
                <w:color w:val="auto"/>
              </w:rPr>
            </w:pPr>
            <w:r>
              <w:rPr>
                <w:b/>
                <w:color w:val="auto"/>
              </w:rPr>
              <w:t>Q3</w:t>
            </w:r>
          </w:p>
        </w:tc>
        <w:tc>
          <w:tcPr>
            <w:tcW w:w="845" w:type="dxa"/>
            <w:shd w:val="clear" w:color="auto" w:fill="D9D9D9" w:themeFill="background1" w:themeFillShade="D9"/>
          </w:tcPr>
          <w:p w:rsidR="00C735F2" w:rsidRDefault="00C735F2" w:rsidP="008E009D">
            <w:pPr>
              <w:spacing w:line="240" w:lineRule="auto"/>
              <w:ind w:left="0" w:firstLine="0"/>
              <w:rPr>
                <w:b/>
                <w:color w:val="auto"/>
              </w:rPr>
            </w:pPr>
            <w:r>
              <w:rPr>
                <w:b/>
                <w:color w:val="auto"/>
              </w:rPr>
              <w:t>Q4</w:t>
            </w:r>
          </w:p>
        </w:tc>
      </w:tr>
      <w:tr w:rsidR="003E2779" w:rsidTr="00C735F2">
        <w:tc>
          <w:tcPr>
            <w:tcW w:w="4314" w:type="dxa"/>
          </w:tcPr>
          <w:p w:rsidR="00C735F2" w:rsidRPr="0082140B" w:rsidRDefault="00C735F2" w:rsidP="008E009D">
            <w:pPr>
              <w:spacing w:line="240" w:lineRule="auto"/>
              <w:ind w:left="0" w:firstLine="0"/>
              <w:rPr>
                <w:color w:val="auto"/>
              </w:rPr>
            </w:pPr>
            <w:r>
              <w:rPr>
                <w:color w:val="auto"/>
              </w:rPr>
              <w:t>T</w:t>
            </w:r>
            <w:r w:rsidRPr="0082140B">
              <w:rPr>
                <w:color w:val="auto"/>
              </w:rPr>
              <w:t>he number of newly created jobs, excluding construction jobs on the EZ</w:t>
            </w:r>
          </w:p>
        </w:tc>
        <w:tc>
          <w:tcPr>
            <w:tcW w:w="1084" w:type="dxa"/>
          </w:tcPr>
          <w:p w:rsidR="00C735F2" w:rsidRPr="0082140B" w:rsidRDefault="00C735F2" w:rsidP="008E009D">
            <w:pPr>
              <w:spacing w:line="240" w:lineRule="auto"/>
            </w:pPr>
            <w:r>
              <w:t>0</w:t>
            </w:r>
          </w:p>
        </w:tc>
        <w:tc>
          <w:tcPr>
            <w:tcW w:w="1418" w:type="dxa"/>
          </w:tcPr>
          <w:p w:rsidR="00C735F2" w:rsidRPr="0082140B" w:rsidRDefault="00C735F2" w:rsidP="008E009D">
            <w:pPr>
              <w:spacing w:line="240" w:lineRule="auto"/>
            </w:pPr>
            <w:r>
              <w:t>2</w:t>
            </w:r>
          </w:p>
        </w:tc>
        <w:tc>
          <w:tcPr>
            <w:tcW w:w="1218" w:type="dxa"/>
          </w:tcPr>
          <w:p w:rsidR="00C735F2" w:rsidRPr="0082140B" w:rsidRDefault="00C735F2" w:rsidP="008E009D">
            <w:pPr>
              <w:spacing w:line="240" w:lineRule="auto"/>
              <w:ind w:left="0" w:firstLine="0"/>
              <w:rPr>
                <w:color w:val="auto"/>
              </w:rPr>
            </w:pPr>
            <w:r>
              <w:rPr>
                <w:color w:val="auto"/>
              </w:rPr>
              <w:t>10</w:t>
            </w:r>
          </w:p>
        </w:tc>
        <w:tc>
          <w:tcPr>
            <w:tcW w:w="845" w:type="dxa"/>
          </w:tcPr>
          <w:p w:rsidR="00C735F2" w:rsidRPr="0082140B" w:rsidRDefault="00C735F2" w:rsidP="008E009D">
            <w:pPr>
              <w:spacing w:line="240" w:lineRule="auto"/>
              <w:ind w:left="0" w:firstLine="0"/>
              <w:rPr>
                <w:color w:val="auto"/>
              </w:rPr>
            </w:pPr>
            <w:r w:rsidRPr="0082140B">
              <w:rPr>
                <w:color w:val="auto"/>
              </w:rPr>
              <w:t>0</w:t>
            </w:r>
          </w:p>
        </w:tc>
      </w:tr>
      <w:tr w:rsidR="003E2779" w:rsidTr="00C735F2">
        <w:tc>
          <w:tcPr>
            <w:tcW w:w="4314" w:type="dxa"/>
          </w:tcPr>
          <w:p w:rsidR="00C735F2" w:rsidRPr="0082140B" w:rsidRDefault="00C735F2" w:rsidP="008E009D">
            <w:pPr>
              <w:spacing w:line="240" w:lineRule="auto"/>
              <w:ind w:left="0" w:firstLine="0"/>
              <w:rPr>
                <w:color w:val="auto"/>
              </w:rPr>
            </w:pPr>
            <w:r>
              <w:rPr>
                <w:color w:val="auto"/>
              </w:rPr>
              <w:t>T</w:t>
            </w:r>
            <w:r w:rsidRPr="0082140B">
              <w:rPr>
                <w:color w:val="auto"/>
              </w:rPr>
              <w:t>he change in the number of newly created construction jobs on the EZ</w:t>
            </w:r>
          </w:p>
        </w:tc>
        <w:tc>
          <w:tcPr>
            <w:tcW w:w="1084" w:type="dxa"/>
          </w:tcPr>
          <w:p w:rsidR="00C735F2" w:rsidRPr="0082140B" w:rsidRDefault="00C735F2" w:rsidP="008E009D">
            <w:pPr>
              <w:spacing w:line="240" w:lineRule="auto"/>
            </w:pPr>
            <w:r>
              <w:t>0</w:t>
            </w:r>
          </w:p>
        </w:tc>
        <w:tc>
          <w:tcPr>
            <w:tcW w:w="1418" w:type="dxa"/>
          </w:tcPr>
          <w:p w:rsidR="00C735F2" w:rsidRPr="0082140B" w:rsidRDefault="00C735F2" w:rsidP="008E009D">
            <w:pPr>
              <w:spacing w:line="240" w:lineRule="auto"/>
            </w:pPr>
            <w:r>
              <w:t>45</w:t>
            </w:r>
          </w:p>
        </w:tc>
        <w:tc>
          <w:tcPr>
            <w:tcW w:w="1218" w:type="dxa"/>
          </w:tcPr>
          <w:p w:rsidR="00C735F2" w:rsidRPr="0082140B" w:rsidRDefault="00C735F2" w:rsidP="008E009D">
            <w:pPr>
              <w:spacing w:line="240" w:lineRule="auto"/>
              <w:ind w:left="0" w:firstLine="0"/>
              <w:rPr>
                <w:color w:val="auto"/>
              </w:rPr>
            </w:pPr>
            <w:r>
              <w:rPr>
                <w:color w:val="auto"/>
              </w:rPr>
              <w:t>0</w:t>
            </w:r>
          </w:p>
        </w:tc>
        <w:tc>
          <w:tcPr>
            <w:tcW w:w="845" w:type="dxa"/>
          </w:tcPr>
          <w:p w:rsidR="00C735F2" w:rsidRPr="0082140B" w:rsidRDefault="00C735F2" w:rsidP="008E009D">
            <w:pPr>
              <w:spacing w:line="240" w:lineRule="auto"/>
              <w:ind w:left="0" w:firstLine="0"/>
              <w:rPr>
                <w:color w:val="auto"/>
              </w:rPr>
            </w:pPr>
            <w:r w:rsidRPr="0082140B">
              <w:rPr>
                <w:color w:val="auto"/>
              </w:rPr>
              <w:t>0</w:t>
            </w:r>
          </w:p>
        </w:tc>
      </w:tr>
    </w:tbl>
    <w:p w:rsidR="00C735F2" w:rsidRDefault="00C735F2" w:rsidP="008E009D">
      <w:pPr>
        <w:spacing w:line="240" w:lineRule="auto"/>
        <w:ind w:hanging="182"/>
        <w:rPr>
          <w:b/>
          <w:color w:val="auto"/>
        </w:rPr>
      </w:pPr>
    </w:p>
    <w:p w:rsidR="00C735F2" w:rsidRPr="004645FE" w:rsidRDefault="00C735F2" w:rsidP="004645FE">
      <w:pPr>
        <w:spacing w:line="240" w:lineRule="auto"/>
        <w:ind w:left="0" w:firstLine="0"/>
        <w:rPr>
          <w:i/>
          <w:color w:val="auto"/>
        </w:rPr>
      </w:pPr>
      <w:r w:rsidRPr="004645FE">
        <w:rPr>
          <w:i/>
          <w:color w:val="auto"/>
        </w:rPr>
        <w:t>Commercial floor space created</w:t>
      </w:r>
      <w:r w:rsidR="004645FE" w:rsidRPr="004645FE">
        <w:rPr>
          <w:i/>
          <w:color w:val="auto"/>
        </w:rPr>
        <w:t>:</w:t>
      </w:r>
      <w:r w:rsidRPr="004645FE">
        <w:rPr>
          <w:i/>
          <w:color w:val="auto"/>
        </w:rPr>
        <w:t xml:space="preserve"> </w:t>
      </w:r>
    </w:p>
    <w:p w:rsidR="004645FE" w:rsidRPr="004645FE" w:rsidRDefault="004645FE" w:rsidP="004645FE">
      <w:pPr>
        <w:spacing w:line="240" w:lineRule="auto"/>
        <w:ind w:left="0" w:firstLine="0"/>
        <w:rPr>
          <w:b/>
          <w:color w:val="auto"/>
        </w:rPr>
      </w:pPr>
    </w:p>
    <w:tbl>
      <w:tblPr>
        <w:tblStyle w:val="TableGrid"/>
        <w:tblW w:w="0" w:type="auto"/>
        <w:tblInd w:w="137" w:type="dxa"/>
        <w:tblLook w:val="04A0" w:firstRow="1" w:lastRow="0" w:firstColumn="1" w:lastColumn="0" w:noHBand="0" w:noVBand="1"/>
      </w:tblPr>
      <w:tblGrid>
        <w:gridCol w:w="3887"/>
        <w:gridCol w:w="520"/>
        <w:gridCol w:w="563"/>
        <w:gridCol w:w="2827"/>
        <w:gridCol w:w="545"/>
        <w:gridCol w:w="537"/>
      </w:tblGrid>
      <w:tr w:rsidR="004645FE" w:rsidTr="004645FE">
        <w:tc>
          <w:tcPr>
            <w:tcW w:w="3887" w:type="dxa"/>
            <w:shd w:val="clear" w:color="auto" w:fill="D9D9D9" w:themeFill="background1" w:themeFillShade="D9"/>
          </w:tcPr>
          <w:p w:rsidR="004645FE" w:rsidRDefault="004645FE" w:rsidP="008E009D">
            <w:pPr>
              <w:spacing w:line="240" w:lineRule="auto"/>
              <w:ind w:left="0" w:firstLine="0"/>
              <w:rPr>
                <w:b/>
                <w:color w:val="auto"/>
              </w:rPr>
            </w:pPr>
          </w:p>
        </w:tc>
        <w:tc>
          <w:tcPr>
            <w:tcW w:w="520" w:type="dxa"/>
            <w:shd w:val="clear" w:color="auto" w:fill="D9D9D9" w:themeFill="background1" w:themeFillShade="D9"/>
          </w:tcPr>
          <w:p w:rsidR="004645FE" w:rsidRDefault="004645FE" w:rsidP="008E009D">
            <w:pPr>
              <w:spacing w:line="240" w:lineRule="auto"/>
              <w:ind w:left="0" w:firstLine="0"/>
              <w:rPr>
                <w:b/>
                <w:color w:val="auto"/>
              </w:rPr>
            </w:pPr>
          </w:p>
        </w:tc>
        <w:tc>
          <w:tcPr>
            <w:tcW w:w="563" w:type="dxa"/>
            <w:shd w:val="clear" w:color="auto" w:fill="D9D9D9" w:themeFill="background1" w:themeFillShade="D9"/>
          </w:tcPr>
          <w:p w:rsidR="004645FE" w:rsidRDefault="004645FE" w:rsidP="008E009D">
            <w:pPr>
              <w:spacing w:line="240" w:lineRule="auto"/>
              <w:ind w:left="0" w:firstLine="0"/>
              <w:rPr>
                <w:b/>
                <w:color w:val="auto"/>
              </w:rPr>
            </w:pPr>
            <w:r>
              <w:rPr>
                <w:b/>
                <w:color w:val="auto"/>
              </w:rPr>
              <w:t>Q1</w:t>
            </w:r>
          </w:p>
        </w:tc>
        <w:tc>
          <w:tcPr>
            <w:tcW w:w="2827" w:type="dxa"/>
            <w:shd w:val="clear" w:color="auto" w:fill="D9D9D9" w:themeFill="background1" w:themeFillShade="D9"/>
          </w:tcPr>
          <w:p w:rsidR="004645FE" w:rsidRDefault="004645FE" w:rsidP="008E009D">
            <w:pPr>
              <w:spacing w:line="240" w:lineRule="auto"/>
              <w:ind w:left="0" w:firstLine="0"/>
              <w:rPr>
                <w:b/>
                <w:color w:val="auto"/>
              </w:rPr>
            </w:pPr>
            <w:r>
              <w:rPr>
                <w:b/>
                <w:color w:val="auto"/>
              </w:rPr>
              <w:t>Q2</w:t>
            </w:r>
          </w:p>
        </w:tc>
        <w:tc>
          <w:tcPr>
            <w:tcW w:w="545" w:type="dxa"/>
            <w:shd w:val="clear" w:color="auto" w:fill="D9D9D9" w:themeFill="background1" w:themeFillShade="D9"/>
          </w:tcPr>
          <w:p w:rsidR="004645FE" w:rsidRDefault="004645FE" w:rsidP="008E009D">
            <w:pPr>
              <w:spacing w:line="240" w:lineRule="auto"/>
              <w:ind w:left="0" w:firstLine="0"/>
              <w:rPr>
                <w:b/>
                <w:color w:val="auto"/>
              </w:rPr>
            </w:pPr>
            <w:r>
              <w:rPr>
                <w:b/>
                <w:color w:val="auto"/>
              </w:rPr>
              <w:t>Q3</w:t>
            </w:r>
          </w:p>
        </w:tc>
        <w:tc>
          <w:tcPr>
            <w:tcW w:w="537" w:type="dxa"/>
            <w:shd w:val="clear" w:color="auto" w:fill="D9D9D9" w:themeFill="background1" w:themeFillShade="D9"/>
          </w:tcPr>
          <w:p w:rsidR="004645FE" w:rsidRDefault="004645FE" w:rsidP="008E009D">
            <w:pPr>
              <w:spacing w:line="240" w:lineRule="auto"/>
              <w:ind w:left="0" w:firstLine="0"/>
              <w:rPr>
                <w:b/>
                <w:color w:val="auto"/>
              </w:rPr>
            </w:pPr>
            <w:r>
              <w:rPr>
                <w:b/>
                <w:color w:val="auto"/>
              </w:rPr>
              <w:t>Q4</w:t>
            </w:r>
          </w:p>
        </w:tc>
      </w:tr>
      <w:tr w:rsidR="004645FE" w:rsidTr="004645FE">
        <w:tc>
          <w:tcPr>
            <w:tcW w:w="3887" w:type="dxa"/>
          </w:tcPr>
          <w:p w:rsidR="004645FE" w:rsidRDefault="004645FE" w:rsidP="008E009D">
            <w:pPr>
              <w:spacing w:line="240" w:lineRule="auto"/>
              <w:ind w:left="0" w:firstLine="0"/>
              <w:rPr>
                <w:color w:val="auto"/>
              </w:rPr>
            </w:pPr>
            <w:r>
              <w:rPr>
                <w:color w:val="auto"/>
              </w:rPr>
              <w:t xml:space="preserve">The </w:t>
            </w:r>
            <w:r w:rsidRPr="0042462F">
              <w:rPr>
                <w:color w:val="auto"/>
              </w:rPr>
              <w:t>area of land was reclaimed and made ready for the development on the zone</w:t>
            </w:r>
          </w:p>
        </w:tc>
        <w:tc>
          <w:tcPr>
            <w:tcW w:w="520" w:type="dxa"/>
          </w:tcPr>
          <w:p w:rsidR="004645FE" w:rsidRDefault="004645FE" w:rsidP="008E009D">
            <w:pPr>
              <w:spacing w:line="240" w:lineRule="auto"/>
            </w:pPr>
          </w:p>
        </w:tc>
        <w:tc>
          <w:tcPr>
            <w:tcW w:w="563" w:type="dxa"/>
          </w:tcPr>
          <w:p w:rsidR="004645FE" w:rsidRDefault="004645FE" w:rsidP="008E009D">
            <w:pPr>
              <w:spacing w:line="240" w:lineRule="auto"/>
            </w:pPr>
            <w:r>
              <w:t>0</w:t>
            </w:r>
          </w:p>
        </w:tc>
        <w:tc>
          <w:tcPr>
            <w:tcW w:w="2827" w:type="dxa"/>
          </w:tcPr>
          <w:p w:rsidR="004645FE" w:rsidRDefault="004645FE" w:rsidP="008E009D">
            <w:pPr>
              <w:spacing w:line="240" w:lineRule="auto"/>
            </w:pPr>
            <w:r w:rsidRPr="0042462F">
              <w:t>23.5ha</w:t>
            </w:r>
          </w:p>
        </w:tc>
        <w:tc>
          <w:tcPr>
            <w:tcW w:w="545" w:type="dxa"/>
          </w:tcPr>
          <w:p w:rsidR="004645FE" w:rsidRDefault="004645FE" w:rsidP="008E009D">
            <w:pPr>
              <w:spacing w:line="240" w:lineRule="auto"/>
              <w:ind w:left="0" w:firstLine="0"/>
              <w:rPr>
                <w:color w:val="auto"/>
              </w:rPr>
            </w:pPr>
            <w:r>
              <w:rPr>
                <w:color w:val="auto"/>
              </w:rPr>
              <w:t>0</w:t>
            </w:r>
          </w:p>
        </w:tc>
        <w:tc>
          <w:tcPr>
            <w:tcW w:w="537" w:type="dxa"/>
          </w:tcPr>
          <w:p w:rsidR="004645FE" w:rsidRPr="0082140B" w:rsidRDefault="004645FE" w:rsidP="008E009D">
            <w:pPr>
              <w:spacing w:line="240" w:lineRule="auto"/>
              <w:ind w:left="0" w:firstLine="0"/>
              <w:rPr>
                <w:color w:val="auto"/>
              </w:rPr>
            </w:pPr>
            <w:r>
              <w:rPr>
                <w:color w:val="auto"/>
              </w:rPr>
              <w:t>0</w:t>
            </w:r>
          </w:p>
        </w:tc>
      </w:tr>
      <w:tr w:rsidR="004645FE" w:rsidTr="004645FE">
        <w:tc>
          <w:tcPr>
            <w:tcW w:w="3887" w:type="dxa"/>
          </w:tcPr>
          <w:p w:rsidR="004645FE" w:rsidRPr="0082140B" w:rsidRDefault="004645FE" w:rsidP="008E009D">
            <w:pPr>
              <w:spacing w:line="240" w:lineRule="auto"/>
              <w:ind w:left="0" w:firstLine="0"/>
              <w:rPr>
                <w:color w:val="auto"/>
              </w:rPr>
            </w:pPr>
            <w:r>
              <w:rPr>
                <w:color w:val="auto"/>
              </w:rPr>
              <w:t>The c</w:t>
            </w:r>
            <w:r w:rsidRPr="0042462F">
              <w:rPr>
                <w:color w:val="auto"/>
              </w:rPr>
              <w:t>ommercial floor space constructed on the zone</w:t>
            </w:r>
          </w:p>
        </w:tc>
        <w:tc>
          <w:tcPr>
            <w:tcW w:w="520" w:type="dxa"/>
          </w:tcPr>
          <w:p w:rsidR="004645FE" w:rsidRDefault="004645FE" w:rsidP="008E009D">
            <w:pPr>
              <w:spacing w:line="240" w:lineRule="auto"/>
            </w:pPr>
          </w:p>
        </w:tc>
        <w:tc>
          <w:tcPr>
            <w:tcW w:w="563" w:type="dxa"/>
          </w:tcPr>
          <w:p w:rsidR="004645FE" w:rsidRPr="0082140B" w:rsidRDefault="004645FE" w:rsidP="008E009D">
            <w:pPr>
              <w:spacing w:line="240" w:lineRule="auto"/>
            </w:pPr>
            <w:r>
              <w:t>0</w:t>
            </w:r>
          </w:p>
        </w:tc>
        <w:tc>
          <w:tcPr>
            <w:tcW w:w="2827" w:type="dxa"/>
          </w:tcPr>
          <w:p w:rsidR="004645FE" w:rsidRDefault="004645FE" w:rsidP="008E009D">
            <w:pPr>
              <w:spacing w:line="240" w:lineRule="auto"/>
            </w:pPr>
            <w:r>
              <w:t>7400 m</w:t>
            </w:r>
            <w:r w:rsidRPr="004645FE">
              <w:rPr>
                <w:vertAlign w:val="superscript"/>
              </w:rPr>
              <w:t>2</w:t>
            </w:r>
            <w:r>
              <w:t xml:space="preserve"> ASK</w:t>
            </w:r>
          </w:p>
          <w:p w:rsidR="004645FE" w:rsidRPr="0082140B" w:rsidRDefault="004645FE" w:rsidP="004645FE">
            <w:pPr>
              <w:spacing w:line="240" w:lineRule="auto"/>
            </w:pPr>
            <w:r>
              <w:t>15103 m</w:t>
            </w:r>
            <w:r w:rsidRPr="004645FE">
              <w:rPr>
                <w:vertAlign w:val="superscript"/>
              </w:rPr>
              <w:t>2</w:t>
            </w:r>
            <w:r>
              <w:t xml:space="preserve"> Wincanton</w:t>
            </w:r>
          </w:p>
        </w:tc>
        <w:tc>
          <w:tcPr>
            <w:tcW w:w="545" w:type="dxa"/>
          </w:tcPr>
          <w:p w:rsidR="004645FE" w:rsidRPr="0082140B" w:rsidRDefault="004645FE" w:rsidP="008E009D">
            <w:pPr>
              <w:spacing w:line="240" w:lineRule="auto"/>
              <w:ind w:left="0" w:firstLine="0"/>
              <w:rPr>
                <w:color w:val="auto"/>
              </w:rPr>
            </w:pPr>
            <w:r>
              <w:rPr>
                <w:color w:val="auto"/>
              </w:rPr>
              <w:t>0</w:t>
            </w:r>
          </w:p>
        </w:tc>
        <w:tc>
          <w:tcPr>
            <w:tcW w:w="537" w:type="dxa"/>
          </w:tcPr>
          <w:p w:rsidR="004645FE" w:rsidRPr="0082140B" w:rsidRDefault="004645FE" w:rsidP="008E009D">
            <w:pPr>
              <w:spacing w:line="240" w:lineRule="auto"/>
              <w:ind w:left="0" w:firstLine="0"/>
              <w:rPr>
                <w:color w:val="auto"/>
              </w:rPr>
            </w:pPr>
            <w:r w:rsidRPr="0082140B">
              <w:rPr>
                <w:color w:val="auto"/>
              </w:rPr>
              <w:t>0</w:t>
            </w:r>
          </w:p>
        </w:tc>
      </w:tr>
    </w:tbl>
    <w:p w:rsidR="00C735F2" w:rsidRPr="0082140B" w:rsidRDefault="00C735F2" w:rsidP="008E009D">
      <w:pPr>
        <w:spacing w:line="240" w:lineRule="auto"/>
        <w:rPr>
          <w:b/>
          <w:color w:val="auto"/>
        </w:rPr>
      </w:pPr>
    </w:p>
    <w:p w:rsidR="00C735F2" w:rsidRDefault="004645FE" w:rsidP="008E009D">
      <w:pPr>
        <w:spacing w:line="240" w:lineRule="auto"/>
        <w:ind w:left="0" w:firstLine="0"/>
        <w:rPr>
          <w:b/>
        </w:rPr>
      </w:pPr>
      <w:r>
        <w:rPr>
          <w:b/>
        </w:rPr>
        <w:t xml:space="preserve">Project </w:t>
      </w:r>
      <w:r w:rsidR="00C735F2">
        <w:rPr>
          <w:b/>
        </w:rPr>
        <w:t>Risks</w:t>
      </w:r>
    </w:p>
    <w:p w:rsidR="004645FE" w:rsidRDefault="004645FE" w:rsidP="008E009D">
      <w:pPr>
        <w:spacing w:line="240" w:lineRule="auto"/>
        <w:ind w:left="0" w:firstLine="0"/>
        <w:rPr>
          <w:b/>
        </w:rPr>
      </w:pPr>
    </w:p>
    <w:p w:rsidR="004645FE" w:rsidRDefault="00C735F2" w:rsidP="004645FE">
      <w:pPr>
        <w:spacing w:line="240" w:lineRule="auto"/>
        <w:ind w:left="0" w:firstLine="0"/>
        <w:rPr>
          <w:b/>
        </w:rPr>
      </w:pPr>
      <w:r w:rsidRPr="00411F05">
        <w:rPr>
          <w:b/>
        </w:rPr>
        <w:t>Construction Risk</w:t>
      </w:r>
    </w:p>
    <w:p w:rsidR="004645FE" w:rsidRDefault="004645FE" w:rsidP="004645FE">
      <w:pPr>
        <w:spacing w:line="240" w:lineRule="auto"/>
        <w:ind w:left="0" w:firstLine="0"/>
      </w:pPr>
    </w:p>
    <w:p w:rsidR="00C735F2" w:rsidRDefault="00C735F2" w:rsidP="004645FE">
      <w:pPr>
        <w:spacing w:line="240" w:lineRule="auto"/>
        <w:ind w:left="0" w:firstLine="0"/>
      </w:pPr>
      <w:r>
        <w:t>This relates to the potential for delay in the delivery of the final section of the Spine Road due to complexities around construction of the internal cross roads and the relocation of services within the highway. Bad weather could also impact upon delivery.</w:t>
      </w:r>
    </w:p>
    <w:p w:rsidR="00C735F2" w:rsidRDefault="00C735F2" w:rsidP="004645FE">
      <w:pPr>
        <w:spacing w:line="240" w:lineRule="auto"/>
        <w:ind w:left="0" w:firstLine="0"/>
      </w:pPr>
    </w:p>
    <w:p w:rsidR="004645FE" w:rsidRDefault="00C735F2" w:rsidP="004645FE">
      <w:pPr>
        <w:spacing w:line="240" w:lineRule="auto"/>
        <w:ind w:left="0" w:firstLine="0"/>
      </w:pPr>
      <w:r>
        <w:t>The above risk is being mitigated through a cohesive Development Team approach between LCC, BAE</w:t>
      </w:r>
      <w:r w:rsidR="004645FE">
        <w:t xml:space="preserve"> Systems</w:t>
      </w:r>
      <w:r>
        <w:t xml:space="preserve"> and specialist advisors to ensure clear methodology statements are in place and comprehensive communications between the construction team and BAE</w:t>
      </w:r>
      <w:r w:rsidR="004645FE">
        <w:t xml:space="preserve"> Systems</w:t>
      </w:r>
      <w:r>
        <w:t xml:space="preserve">. </w:t>
      </w:r>
    </w:p>
    <w:p w:rsidR="004645FE" w:rsidRDefault="004645FE" w:rsidP="004645FE">
      <w:pPr>
        <w:spacing w:line="240" w:lineRule="auto"/>
        <w:ind w:left="0" w:firstLine="0"/>
      </w:pPr>
    </w:p>
    <w:p w:rsidR="002F7C5D" w:rsidRDefault="002F7C5D" w:rsidP="004645FE">
      <w:pPr>
        <w:spacing w:line="240" w:lineRule="auto"/>
        <w:ind w:left="0" w:firstLine="0"/>
      </w:pPr>
    </w:p>
    <w:p w:rsidR="002F7C5D" w:rsidRDefault="002F7C5D" w:rsidP="004645FE">
      <w:pPr>
        <w:spacing w:line="240" w:lineRule="auto"/>
        <w:ind w:left="0" w:firstLine="0"/>
      </w:pPr>
    </w:p>
    <w:p w:rsidR="00BC3A28" w:rsidRPr="00E718EE" w:rsidRDefault="00BC3A28" w:rsidP="00BC3A28">
      <w:pPr>
        <w:spacing w:line="240" w:lineRule="auto"/>
        <w:rPr>
          <w:b/>
          <w:i/>
        </w:rPr>
      </w:pPr>
      <w:r w:rsidRPr="00E718EE">
        <w:rPr>
          <w:b/>
          <w:i/>
        </w:rPr>
        <w:lastRenderedPageBreak/>
        <w:t>Warton Aviation Enterprise Zone</w:t>
      </w:r>
    </w:p>
    <w:p w:rsidR="00BC3A28" w:rsidRDefault="00BC3A28">
      <w:pPr>
        <w:rPr>
          <w:b/>
        </w:rPr>
      </w:pPr>
    </w:p>
    <w:p w:rsidR="003C27AE" w:rsidRPr="00F26B10" w:rsidRDefault="003C27AE" w:rsidP="003C27AE">
      <w:pPr>
        <w:spacing w:after="0" w:line="240" w:lineRule="auto"/>
        <w:ind w:left="0" w:firstLine="0"/>
      </w:pPr>
      <w:r w:rsidRPr="00F26B10">
        <w:t>Two new occupiers located to the site in 2015; Accenture and Trescal creating circa 30 new jobs.</w:t>
      </w:r>
    </w:p>
    <w:p w:rsidR="003C27AE" w:rsidRDefault="003C27AE" w:rsidP="003C27AE">
      <w:pPr>
        <w:spacing w:after="0" w:line="240" w:lineRule="auto"/>
        <w:ind w:left="0" w:firstLine="0"/>
      </w:pPr>
    </w:p>
    <w:p w:rsidR="003C27AE" w:rsidRDefault="003C27AE" w:rsidP="003C27AE">
      <w:pPr>
        <w:spacing w:after="0" w:line="240" w:lineRule="auto"/>
        <w:ind w:left="0" w:firstLine="0"/>
      </w:pPr>
      <w:r>
        <w:t xml:space="preserve">The site </w:t>
      </w:r>
      <w:r w:rsidRPr="00F26B10">
        <w:t xml:space="preserve">masterplan </w:t>
      </w:r>
      <w:r>
        <w:t xml:space="preserve">was completed </w:t>
      </w:r>
      <w:r w:rsidRPr="00F26B10">
        <w:t>by BAE Systems</w:t>
      </w:r>
      <w:r>
        <w:t xml:space="preserve"> in 2015 and work is underway between BAE Systems, the LEP and the County Council to understand infrastructure requirements both on and off site.</w:t>
      </w:r>
    </w:p>
    <w:p w:rsidR="003C27AE" w:rsidRDefault="003C27AE" w:rsidP="003C27AE">
      <w:pPr>
        <w:spacing w:after="0" w:line="240" w:lineRule="auto"/>
        <w:ind w:left="0" w:firstLine="0"/>
      </w:pPr>
    </w:p>
    <w:p w:rsidR="003C27AE" w:rsidRPr="00E718EE" w:rsidRDefault="003C27AE" w:rsidP="003C27AE">
      <w:pPr>
        <w:spacing w:after="0" w:line="240" w:lineRule="auto"/>
        <w:ind w:left="0" w:firstLine="0"/>
        <w:rPr>
          <w:b/>
          <w:i/>
        </w:rPr>
      </w:pPr>
      <w:r w:rsidRPr="00E718EE">
        <w:rPr>
          <w:b/>
          <w:i/>
        </w:rPr>
        <w:t>Blackpool Airport Enterprise Zone</w:t>
      </w:r>
    </w:p>
    <w:p w:rsidR="003C27AE" w:rsidRDefault="003C27AE" w:rsidP="003C27AE">
      <w:pPr>
        <w:spacing w:after="0" w:line="240" w:lineRule="auto"/>
        <w:ind w:left="0" w:firstLine="0"/>
      </w:pPr>
    </w:p>
    <w:p w:rsidR="00B87DC6" w:rsidRPr="00B87DC6" w:rsidRDefault="00B87DC6" w:rsidP="00B87DC6">
      <w:pPr>
        <w:spacing w:line="240" w:lineRule="auto"/>
        <w:rPr>
          <w:u w:val="single"/>
        </w:rPr>
      </w:pPr>
      <w:r w:rsidRPr="00B87DC6">
        <w:rPr>
          <w:u w:val="single"/>
        </w:rPr>
        <w:t xml:space="preserve">Enquiries </w:t>
      </w:r>
    </w:p>
    <w:p w:rsidR="00B87DC6" w:rsidRDefault="00B87DC6" w:rsidP="00B87DC6">
      <w:pPr>
        <w:spacing w:line="240" w:lineRule="auto"/>
      </w:pPr>
    </w:p>
    <w:p w:rsidR="00B87DC6" w:rsidRDefault="00B87DC6" w:rsidP="00B87DC6">
      <w:pPr>
        <w:spacing w:line="240" w:lineRule="auto"/>
        <w:ind w:left="0" w:firstLine="0"/>
      </w:pPr>
      <w:r w:rsidRPr="00B87DC6">
        <w:t xml:space="preserve">In excess of 100 enquiries have been received via the EDC in respect of the Blackpool Airport EZ since April 2016 and 28 businesses have located or re-located within the EZ to larger premises since it’s commencement. This excludes a number of micro businesses, including a film production company who have occupied easy in easy out space on the Business Park and Sycamore estate and whose long term presence cannot be guaranteed. Including bespoke design and build projects in negotiation, there are a further 8 fully active property enquiries, all for the small scale accommodation presently available or under construction.   </w:t>
      </w:r>
    </w:p>
    <w:p w:rsidR="00B87DC6" w:rsidRPr="00B87DC6" w:rsidRDefault="00B87DC6" w:rsidP="00B87DC6">
      <w:pPr>
        <w:spacing w:line="240" w:lineRule="auto"/>
        <w:ind w:left="0" w:firstLine="0"/>
      </w:pPr>
    </w:p>
    <w:p w:rsidR="00B87DC6" w:rsidRPr="00B87DC6" w:rsidRDefault="00B87DC6" w:rsidP="00B87DC6">
      <w:pPr>
        <w:spacing w:line="240" w:lineRule="auto"/>
        <w:rPr>
          <w:u w:val="single"/>
        </w:rPr>
      </w:pPr>
      <w:r w:rsidRPr="00B87DC6">
        <w:rPr>
          <w:u w:val="single"/>
        </w:rPr>
        <w:t xml:space="preserve">Employment </w:t>
      </w:r>
    </w:p>
    <w:p w:rsidR="00B87DC6" w:rsidRDefault="00B87DC6" w:rsidP="00B87DC6">
      <w:pPr>
        <w:spacing w:line="240" w:lineRule="auto"/>
      </w:pPr>
    </w:p>
    <w:p w:rsidR="00B87DC6" w:rsidRPr="00B87DC6" w:rsidRDefault="00B87DC6" w:rsidP="00B87DC6">
      <w:pPr>
        <w:spacing w:line="240" w:lineRule="auto"/>
        <w:ind w:left="0" w:firstLine="0"/>
      </w:pPr>
      <w:r w:rsidRPr="00B87DC6">
        <w:t xml:space="preserve">Circa 435 jobs have been located to the EZ or are legally committed (Lancashire Energy HQ /AC Electrical) since April 2016, of which it is estimated that 140 are completely new and the others are existing safeguarded jobs, from growth companies originally based within the Fylde coast. As with capital expenditure, it is difficult to require new businesses to provide details of staffing, particularly where they do not seek EZ business rates relief.  Additional administrative and programme management resource in the process of being recruited to the EDC will enhance capacity to seek out and verify this key data.  </w:t>
      </w:r>
    </w:p>
    <w:p w:rsidR="00B87DC6" w:rsidRDefault="00B87DC6" w:rsidP="00B87DC6">
      <w:pPr>
        <w:spacing w:line="240" w:lineRule="auto"/>
        <w:ind w:left="0" w:firstLine="0"/>
      </w:pPr>
    </w:p>
    <w:p w:rsidR="00B87DC6" w:rsidRDefault="00B87DC6" w:rsidP="00B87DC6">
      <w:pPr>
        <w:spacing w:line="240" w:lineRule="auto"/>
        <w:ind w:left="0" w:firstLine="0"/>
      </w:pPr>
      <w:r w:rsidRPr="00B87DC6">
        <w:t xml:space="preserve">Some 350-400 jobs with EZ based Slater Gordon Solutions  remain vulnerable, due to the parent companies well documented financial difficulties, however ongoing work with SGS has seen them consolidate their presence on the EZ, vacating a small office at Atlantic House, but taking a renewed lease for the larger Indemnity House whilst retaining their freehold at Viscount House.  </w:t>
      </w:r>
    </w:p>
    <w:p w:rsidR="002F7C5D" w:rsidRPr="00B87DC6" w:rsidRDefault="002F7C5D" w:rsidP="00B87DC6">
      <w:pPr>
        <w:spacing w:line="240" w:lineRule="auto"/>
        <w:ind w:left="0" w:firstLine="0"/>
      </w:pPr>
    </w:p>
    <w:p w:rsidR="00B87DC6" w:rsidRPr="00B87DC6" w:rsidRDefault="00B87DC6" w:rsidP="00B87DC6">
      <w:pPr>
        <w:spacing w:after="0" w:line="240" w:lineRule="auto"/>
        <w:rPr>
          <w:u w:val="single"/>
        </w:rPr>
      </w:pPr>
      <w:r w:rsidRPr="00B87DC6">
        <w:rPr>
          <w:u w:val="single"/>
        </w:rPr>
        <w:t xml:space="preserve">Master-plan </w:t>
      </w:r>
    </w:p>
    <w:p w:rsidR="00B87DC6" w:rsidRPr="00B87DC6" w:rsidRDefault="00B87DC6" w:rsidP="00B87DC6">
      <w:pPr>
        <w:spacing w:after="0" w:line="240" w:lineRule="auto"/>
        <w:rPr>
          <w:u w:val="single"/>
        </w:rPr>
      </w:pPr>
    </w:p>
    <w:p w:rsidR="00B87DC6" w:rsidRDefault="00B87DC6" w:rsidP="00B87DC6">
      <w:pPr>
        <w:spacing w:after="0" w:line="240" w:lineRule="auto"/>
        <w:ind w:left="0" w:firstLine="0"/>
      </w:pPr>
      <w:r w:rsidRPr="00B87DC6">
        <w:t xml:space="preserve">Following the award of £50,000 commercial support funding from DCLG in January 2017, it has been possible to progress the commissioning of a detailed master-plan for </w:t>
      </w:r>
      <w:r>
        <w:t xml:space="preserve">the </w:t>
      </w:r>
      <w:r w:rsidRPr="00B87DC6">
        <w:t xml:space="preserve">Blackpool Airport EZ. </w:t>
      </w:r>
      <w:r>
        <w:t>Mott MacDonald have been appointed to undertake the development of the masterplan for the site.</w:t>
      </w:r>
    </w:p>
    <w:p w:rsidR="00B87DC6" w:rsidRDefault="00B87DC6" w:rsidP="00B87DC6">
      <w:pPr>
        <w:spacing w:after="0" w:line="240" w:lineRule="auto"/>
        <w:ind w:left="0" w:firstLine="0"/>
      </w:pPr>
      <w:r w:rsidRPr="00B87DC6">
        <w:t>The master-plan will</w:t>
      </w:r>
      <w:r>
        <w:t>,</w:t>
      </w:r>
      <w:r w:rsidRPr="00B87DC6">
        <w:t xml:space="preserve"> in addition to producing the overall development phasing and framework, look at options for relocation of aviation operational infrastructure, to trigger release of land for future development inter alia, undertake a full audit of existing Highways and utility capacities, and make recommendations as to required upgrades and significant phased infrastructure investment to deliver the master-plan. </w:t>
      </w:r>
    </w:p>
    <w:p w:rsidR="00B87DC6" w:rsidRDefault="00B87DC6" w:rsidP="00B87DC6">
      <w:pPr>
        <w:spacing w:after="0" w:line="240" w:lineRule="auto"/>
        <w:ind w:left="0" w:firstLine="0"/>
      </w:pPr>
    </w:p>
    <w:p w:rsidR="00B87DC6" w:rsidRDefault="00B87DC6" w:rsidP="00B87DC6">
      <w:pPr>
        <w:spacing w:after="0" w:line="240" w:lineRule="auto"/>
        <w:ind w:left="0" w:firstLine="0"/>
      </w:pPr>
      <w:r w:rsidRPr="00B87DC6">
        <w:t>It will also review the development Hypothesis which underpinned the original EZ bid of January 2017 and provide the data to Genecon, enabling them to complete the 5 and 25 year implementation and delivery plans required for the site by DCLG.</w:t>
      </w:r>
    </w:p>
    <w:p w:rsidR="00B87DC6" w:rsidRDefault="00B87DC6" w:rsidP="00B87DC6">
      <w:pPr>
        <w:spacing w:after="0" w:line="240" w:lineRule="auto"/>
        <w:ind w:left="0" w:firstLine="0"/>
      </w:pPr>
    </w:p>
    <w:p w:rsidR="00B87DC6" w:rsidRPr="00B87DC6" w:rsidRDefault="00B87DC6" w:rsidP="00B87DC6">
      <w:pPr>
        <w:spacing w:after="0" w:line="240" w:lineRule="auto"/>
        <w:ind w:left="0" w:firstLine="0"/>
      </w:pPr>
      <w:r w:rsidRPr="00B87DC6">
        <w:t>It is anticipated that the total cost of the master-plan will be in the region of £120,000, with the balance initially funded from the allocation of £1.6m made by Blackpool Council in July 2016 to support delivery of the Enterprise Zone over its initial five years.</w:t>
      </w:r>
      <w:r>
        <w:t xml:space="preserve"> </w:t>
      </w:r>
    </w:p>
    <w:p w:rsidR="00B87DC6" w:rsidRPr="00B87DC6" w:rsidRDefault="00B87DC6" w:rsidP="00B87DC6">
      <w:pPr>
        <w:spacing w:after="0" w:line="240" w:lineRule="auto"/>
        <w:ind w:left="0" w:firstLine="0"/>
      </w:pPr>
    </w:p>
    <w:p w:rsidR="00B87DC6" w:rsidRPr="00B87DC6" w:rsidRDefault="00B87DC6" w:rsidP="00B87DC6">
      <w:pPr>
        <w:spacing w:after="0" w:line="240" w:lineRule="auto"/>
        <w:ind w:left="0" w:firstLine="0"/>
      </w:pPr>
      <w:r w:rsidRPr="00B87DC6">
        <w:t xml:space="preserve">It is anticipated that the base report will be available for consideration by stakeholders in June 2017 and when approved will enable the delivery and Implementation plan to be completed and submitted to DCLG .                                                                                                                                                                                                                                                                                                                                                                                                                                                                                                                                                      </w:t>
      </w:r>
    </w:p>
    <w:p w:rsidR="00B87DC6" w:rsidRDefault="00B87DC6" w:rsidP="00B87DC6">
      <w:pPr>
        <w:spacing w:after="0" w:line="240" w:lineRule="auto"/>
      </w:pPr>
    </w:p>
    <w:p w:rsidR="00B87DC6" w:rsidRPr="00B87DC6" w:rsidRDefault="00B87DC6" w:rsidP="002F7C5D">
      <w:pPr>
        <w:spacing w:line="240" w:lineRule="auto"/>
        <w:ind w:left="0" w:firstLine="0"/>
        <w:rPr>
          <w:u w:val="single"/>
        </w:rPr>
      </w:pPr>
      <w:r w:rsidRPr="00B87DC6">
        <w:rPr>
          <w:u w:val="single"/>
        </w:rPr>
        <w:t>Blackpool Airport</w:t>
      </w:r>
    </w:p>
    <w:p w:rsidR="00B87DC6" w:rsidRDefault="00B87DC6" w:rsidP="00B87DC6">
      <w:pPr>
        <w:spacing w:line="240" w:lineRule="auto"/>
      </w:pPr>
    </w:p>
    <w:p w:rsidR="00B87DC6" w:rsidRDefault="00B87DC6" w:rsidP="00B87DC6">
      <w:pPr>
        <w:spacing w:line="240" w:lineRule="auto"/>
        <w:ind w:left="0" w:firstLine="0"/>
      </w:pPr>
      <w:r w:rsidRPr="00B87DC6">
        <w:t>Blackpool Airport sits at the heart of the EZ and its operational future will be key to the long term ability of the EZ to deliver its full economic potential. The airport is presently being offered for sale by current owners, Balfour Beatty Investments, and it is likely that a</w:t>
      </w:r>
      <w:r>
        <w:t xml:space="preserve"> new owner will be identified </w:t>
      </w:r>
      <w:r w:rsidRPr="00B87DC6">
        <w:t xml:space="preserve">within the next month and subject to satisfactory sale, completed in early summer. </w:t>
      </w:r>
    </w:p>
    <w:p w:rsidR="00B87DC6" w:rsidRDefault="00B87DC6" w:rsidP="00B87DC6">
      <w:pPr>
        <w:spacing w:line="240" w:lineRule="auto"/>
        <w:ind w:left="0" w:firstLine="0"/>
      </w:pPr>
    </w:p>
    <w:p w:rsidR="00B87DC6" w:rsidRPr="00B87DC6" w:rsidRDefault="00B87DC6" w:rsidP="00B87DC6">
      <w:pPr>
        <w:spacing w:line="240" w:lineRule="auto"/>
        <w:ind w:left="0" w:firstLine="0"/>
      </w:pPr>
      <w:r>
        <w:t xml:space="preserve">It will only be that once the new owners are in place </w:t>
      </w:r>
      <w:r w:rsidRPr="00B87DC6">
        <w:t>meaningful discussions can be progressed with regards to the development of surplus land and property within the EZ boundary, and the willingness of the new owners to invest in new aviation infrastructure support</w:t>
      </w:r>
      <w:r>
        <w:t>ing</w:t>
      </w:r>
      <w:r w:rsidRPr="00B87DC6">
        <w:t xml:space="preserve"> the EZ established</w:t>
      </w:r>
      <w:r>
        <w:t xml:space="preserve"> development</w:t>
      </w:r>
      <w:r w:rsidRPr="00B87DC6">
        <w:t xml:space="preserve">. Therefore this remains an area of high risk to the EZ at the present time. </w:t>
      </w:r>
    </w:p>
    <w:p w:rsidR="00B87DC6" w:rsidRDefault="00B87DC6" w:rsidP="00B87DC6">
      <w:pPr>
        <w:spacing w:line="240" w:lineRule="auto"/>
        <w:ind w:left="0" w:firstLine="0"/>
      </w:pPr>
    </w:p>
    <w:p w:rsidR="00B87DC6" w:rsidRPr="00B87DC6" w:rsidRDefault="00B87DC6" w:rsidP="00B87DC6">
      <w:pPr>
        <w:spacing w:line="240" w:lineRule="auto"/>
        <w:ind w:left="0" w:firstLine="0"/>
      </w:pPr>
      <w:r w:rsidRPr="00B87DC6">
        <w:t xml:space="preserve">Two aviation related businesses have located within the EZ since April 2016 and enquiries have been received from others, which will be progressed once the long term sustainability of the airport can be assured.    </w:t>
      </w:r>
    </w:p>
    <w:p w:rsidR="00B87DC6" w:rsidRPr="00B87DC6" w:rsidRDefault="00B87DC6" w:rsidP="00B87DC6">
      <w:pPr>
        <w:spacing w:line="240" w:lineRule="auto"/>
      </w:pPr>
    </w:p>
    <w:p w:rsidR="00B87DC6" w:rsidRPr="00B87DC6" w:rsidRDefault="00B87DC6" w:rsidP="00B87DC6">
      <w:pPr>
        <w:spacing w:line="240" w:lineRule="auto"/>
        <w:rPr>
          <w:u w:val="single"/>
        </w:rPr>
      </w:pPr>
      <w:r w:rsidRPr="00B87DC6">
        <w:rPr>
          <w:u w:val="single"/>
        </w:rPr>
        <w:t xml:space="preserve">Delivery and Implementation plan </w:t>
      </w:r>
    </w:p>
    <w:p w:rsidR="00B87DC6" w:rsidRDefault="00B87DC6" w:rsidP="00B87DC6">
      <w:pPr>
        <w:spacing w:line="240" w:lineRule="auto"/>
      </w:pPr>
    </w:p>
    <w:p w:rsidR="00B87DC6" w:rsidRPr="00B87DC6" w:rsidRDefault="00B87DC6" w:rsidP="00B87DC6">
      <w:pPr>
        <w:spacing w:line="240" w:lineRule="auto"/>
        <w:ind w:left="0" w:firstLine="0"/>
      </w:pPr>
      <w:r w:rsidRPr="00B87DC6">
        <w:t xml:space="preserve">Under the terms of the Memorandum of Understanding signed with DCLG in November 2016 there is a requirement to submit </w:t>
      </w:r>
      <w:r>
        <w:t xml:space="preserve">a </w:t>
      </w:r>
      <w:r w:rsidRPr="00B87DC6">
        <w:t xml:space="preserve">Delivery Plan, Implementation </w:t>
      </w:r>
      <w:r>
        <w:t>P</w:t>
      </w:r>
      <w:r w:rsidRPr="00B87DC6">
        <w:t xml:space="preserve">lan and a Marketing Strategy for </w:t>
      </w:r>
      <w:r>
        <w:t xml:space="preserve">the </w:t>
      </w:r>
      <w:r w:rsidRPr="00B87DC6">
        <w:t xml:space="preserve">Blackpool Airport </w:t>
      </w:r>
      <w:r>
        <w:t xml:space="preserve">EZ </w:t>
      </w:r>
      <w:r w:rsidRPr="00B87DC6">
        <w:t>to DCLG by the 31</w:t>
      </w:r>
      <w:r w:rsidRPr="00B87DC6">
        <w:rPr>
          <w:vertAlign w:val="superscript"/>
        </w:rPr>
        <w:t>st</w:t>
      </w:r>
      <w:r w:rsidRPr="00B87DC6">
        <w:t xml:space="preserve"> March 2017. </w:t>
      </w:r>
      <w:r>
        <w:t xml:space="preserve">Colleagues on the Fylde Coast have approached DCLG to formally </w:t>
      </w:r>
      <w:r w:rsidRPr="00B87DC6">
        <w:t xml:space="preserve">request an extension of time to submit these key documents, </w:t>
      </w:r>
      <w:r>
        <w:t xml:space="preserve">from March to August </w:t>
      </w:r>
      <w:r w:rsidRPr="00B87DC6">
        <w:t>2017.</w:t>
      </w:r>
    </w:p>
    <w:p w:rsidR="00B87DC6" w:rsidRDefault="00B87DC6" w:rsidP="00B87DC6">
      <w:pPr>
        <w:spacing w:line="240" w:lineRule="auto"/>
        <w:rPr>
          <w:u w:val="single"/>
        </w:rPr>
      </w:pPr>
    </w:p>
    <w:p w:rsidR="00B87DC6" w:rsidRDefault="00B87DC6" w:rsidP="00B87DC6">
      <w:pPr>
        <w:spacing w:line="240" w:lineRule="auto"/>
        <w:rPr>
          <w:u w:val="single"/>
        </w:rPr>
      </w:pPr>
      <w:r w:rsidRPr="00B87DC6">
        <w:rPr>
          <w:u w:val="single"/>
        </w:rPr>
        <w:t xml:space="preserve">Key Statistics   </w:t>
      </w:r>
    </w:p>
    <w:p w:rsidR="00B87DC6" w:rsidRPr="00B87DC6" w:rsidRDefault="00B87DC6" w:rsidP="00B87DC6">
      <w:pPr>
        <w:spacing w:line="240" w:lineRule="auto"/>
        <w:rPr>
          <w:u w:val="single"/>
        </w:rPr>
      </w:pPr>
      <w:r w:rsidRPr="00B87DC6">
        <w:rPr>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3397"/>
      </w:tblGrid>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Number of jobs created, relocated and safeguarded    </w:t>
            </w:r>
          </w:p>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                </w:t>
            </w: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140 new / 295 relocated</w:t>
            </w:r>
            <w:r w:rsidRPr="00B87DC6">
              <w:rPr>
                <w:rFonts w:ascii="Arial" w:hAnsi="Arial" w:cs="Arial"/>
                <w:sz w:val="24"/>
                <w:szCs w:val="24"/>
              </w:rPr>
              <w:t xml:space="preserve">  </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Company locations to the site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b/>
                <w:sz w:val="24"/>
                <w:szCs w:val="24"/>
              </w:rPr>
            </w:pPr>
            <w:r w:rsidRPr="00B87DC6">
              <w:rPr>
                <w:rFonts w:ascii="Arial" w:hAnsi="Arial" w:cs="Arial"/>
                <w:b/>
                <w:sz w:val="24"/>
                <w:szCs w:val="24"/>
              </w:rPr>
              <w:t>28</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Estimated Value of investment to date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Circa £10m</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lastRenderedPageBreak/>
              <w:t xml:space="preserve">Commercial floor space delivered (refurbished)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Circa 35000 sq. ft.</w:t>
            </w:r>
            <w:r w:rsidRPr="00B87DC6">
              <w:rPr>
                <w:rFonts w:ascii="Arial" w:hAnsi="Arial" w:cs="Arial"/>
                <w:sz w:val="24"/>
                <w:szCs w:val="24"/>
              </w:rPr>
              <w:t xml:space="preserve">   </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Commercial floor space in development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Circa 182,000 sq. ft.</w:t>
            </w:r>
            <w:r w:rsidRPr="00B87DC6">
              <w:rPr>
                <w:rFonts w:ascii="Arial" w:hAnsi="Arial" w:cs="Arial"/>
                <w:sz w:val="24"/>
                <w:szCs w:val="24"/>
              </w:rPr>
              <w:t xml:space="preserve"> </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Type and value of any infrastructure investment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Not yet underway</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Number of live enquiries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8 bespoke and 8 generic</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Planning frameworks implemented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Awaiting Masterplan</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Public funding secured                                                                        </w:t>
            </w:r>
          </w:p>
        </w:tc>
        <w:tc>
          <w:tcPr>
            <w:tcW w:w="3397" w:type="dxa"/>
          </w:tcPr>
          <w:p w:rsidR="00B87DC6" w:rsidRPr="00B87DC6" w:rsidRDefault="00B87DC6" w:rsidP="00B87DC6">
            <w:pPr>
              <w:pStyle w:val="PlainText"/>
              <w:rPr>
                <w:rFonts w:ascii="Arial" w:hAnsi="Arial" w:cs="Arial"/>
                <w:b/>
                <w:sz w:val="24"/>
                <w:szCs w:val="24"/>
              </w:rPr>
            </w:pPr>
            <w:r w:rsidRPr="00B87DC6">
              <w:rPr>
                <w:rFonts w:ascii="Arial" w:hAnsi="Arial" w:cs="Arial"/>
                <w:b/>
                <w:sz w:val="24"/>
                <w:szCs w:val="24"/>
              </w:rPr>
              <w:t xml:space="preserve">£50,000 DCLG commercial support                                                                                                                                                 </w:t>
            </w:r>
            <w:r w:rsidRPr="00B87DC6">
              <w:rPr>
                <w:rFonts w:ascii="Arial" w:hAnsi="Arial" w:cs="Arial"/>
                <w:b/>
                <w:sz w:val="24"/>
                <w:szCs w:val="24"/>
              </w:rPr>
              <w:br/>
              <w:t>£1,600,000 Blackpool Council</w:t>
            </w:r>
          </w:p>
          <w:p w:rsidR="00B87DC6" w:rsidRPr="00B87DC6" w:rsidRDefault="00B87DC6" w:rsidP="00B87DC6">
            <w:pPr>
              <w:pStyle w:val="PlainText"/>
              <w:rPr>
                <w:rFonts w:ascii="Arial" w:hAnsi="Arial" w:cs="Arial"/>
                <w:b/>
                <w:sz w:val="24"/>
                <w:szCs w:val="24"/>
              </w:rPr>
            </w:pP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Business rate relief awarded              </w:t>
            </w:r>
          </w:p>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                                                </w:t>
            </w:r>
          </w:p>
        </w:tc>
        <w:tc>
          <w:tcPr>
            <w:tcW w:w="3397" w:type="dxa"/>
          </w:tcPr>
          <w:p w:rsidR="00B87DC6" w:rsidRPr="00B87DC6" w:rsidRDefault="00B87DC6" w:rsidP="00B87DC6">
            <w:pPr>
              <w:pStyle w:val="PlainText"/>
              <w:rPr>
                <w:rFonts w:ascii="Arial" w:hAnsi="Arial" w:cs="Arial"/>
                <w:b/>
                <w:sz w:val="24"/>
                <w:szCs w:val="24"/>
              </w:rPr>
            </w:pPr>
            <w:r w:rsidRPr="00B87DC6">
              <w:rPr>
                <w:rFonts w:ascii="Arial" w:hAnsi="Arial" w:cs="Arial"/>
                <w:b/>
                <w:sz w:val="24"/>
                <w:szCs w:val="24"/>
              </w:rPr>
              <w:t>£2,373,000 (5 year cumulative</w:t>
            </w:r>
            <w:r w:rsidRPr="00B87DC6">
              <w:rPr>
                <w:rFonts w:ascii="Arial" w:hAnsi="Arial" w:cs="Arial"/>
                <w:sz w:val="24"/>
                <w:szCs w:val="24"/>
              </w:rPr>
              <w:t>)</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ECA awarded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b/>
                <w:sz w:val="24"/>
                <w:szCs w:val="24"/>
              </w:rPr>
            </w:pPr>
            <w:r w:rsidRPr="00B87DC6">
              <w:rPr>
                <w:rFonts w:ascii="Arial" w:hAnsi="Arial" w:cs="Arial"/>
                <w:b/>
                <w:sz w:val="24"/>
                <w:szCs w:val="24"/>
              </w:rPr>
              <w:t>ECA to commence 1st April 2017</w:t>
            </w:r>
            <w:r w:rsidRPr="00B87DC6">
              <w:rPr>
                <w:rFonts w:ascii="Arial" w:hAnsi="Arial" w:cs="Arial"/>
                <w:sz w:val="24"/>
                <w:szCs w:val="24"/>
              </w:rPr>
              <w:t xml:space="preserve">  </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 xml:space="preserve">Status of masterplan                                                                            </w:t>
            </w:r>
          </w:p>
          <w:p w:rsidR="00B87DC6" w:rsidRPr="00B87DC6" w:rsidRDefault="00B87DC6" w:rsidP="00B87DC6">
            <w:pPr>
              <w:pStyle w:val="PlainText"/>
              <w:rPr>
                <w:rFonts w:ascii="Arial" w:hAnsi="Arial" w:cs="Arial"/>
                <w:sz w:val="24"/>
                <w:szCs w:val="24"/>
              </w:rPr>
            </w:pPr>
          </w:p>
        </w:tc>
        <w:tc>
          <w:tcPr>
            <w:tcW w:w="3397" w:type="dxa"/>
          </w:tcPr>
          <w:p w:rsidR="00B87DC6" w:rsidRPr="00B87DC6" w:rsidRDefault="00B87DC6" w:rsidP="00B87DC6">
            <w:pPr>
              <w:pStyle w:val="PlainText"/>
              <w:rPr>
                <w:rFonts w:ascii="Arial" w:hAnsi="Arial" w:cs="Arial"/>
                <w:sz w:val="24"/>
                <w:szCs w:val="24"/>
              </w:rPr>
            </w:pPr>
            <w:r w:rsidRPr="00B87DC6">
              <w:rPr>
                <w:rFonts w:ascii="Arial" w:hAnsi="Arial" w:cs="Arial"/>
                <w:b/>
                <w:sz w:val="24"/>
                <w:szCs w:val="24"/>
              </w:rPr>
              <w:t>Consultant appointment pending</w:t>
            </w:r>
            <w:r w:rsidRPr="00B87DC6">
              <w:rPr>
                <w:rFonts w:ascii="Arial" w:hAnsi="Arial" w:cs="Arial"/>
                <w:sz w:val="24"/>
                <w:szCs w:val="24"/>
              </w:rPr>
              <w:t xml:space="preserve"> </w:t>
            </w:r>
          </w:p>
        </w:tc>
      </w:tr>
      <w:tr w:rsidR="00B87DC6" w:rsidRPr="00B87DC6" w:rsidTr="00B87DC6">
        <w:tc>
          <w:tcPr>
            <w:tcW w:w="5521" w:type="dxa"/>
          </w:tcPr>
          <w:p w:rsidR="00B87DC6" w:rsidRPr="00B87DC6" w:rsidRDefault="00B87DC6" w:rsidP="00B87DC6">
            <w:pPr>
              <w:pStyle w:val="PlainText"/>
              <w:rPr>
                <w:rFonts w:ascii="Arial" w:hAnsi="Arial" w:cs="Arial"/>
                <w:sz w:val="24"/>
                <w:szCs w:val="24"/>
              </w:rPr>
            </w:pPr>
            <w:r w:rsidRPr="00B87DC6">
              <w:rPr>
                <w:rFonts w:ascii="Arial" w:hAnsi="Arial" w:cs="Arial"/>
                <w:sz w:val="24"/>
                <w:szCs w:val="24"/>
              </w:rPr>
              <w:t>Other public or private investment secured</w:t>
            </w:r>
          </w:p>
        </w:tc>
        <w:tc>
          <w:tcPr>
            <w:tcW w:w="3397" w:type="dxa"/>
          </w:tcPr>
          <w:p w:rsidR="00B87DC6" w:rsidRPr="00B87DC6" w:rsidRDefault="00B87DC6" w:rsidP="00B87DC6">
            <w:pPr>
              <w:pStyle w:val="PlainText"/>
              <w:rPr>
                <w:rFonts w:ascii="Arial" w:hAnsi="Arial" w:cs="Arial"/>
                <w:b/>
                <w:sz w:val="24"/>
                <w:szCs w:val="24"/>
              </w:rPr>
            </w:pPr>
            <w:r w:rsidRPr="00B87DC6">
              <w:rPr>
                <w:rFonts w:ascii="Arial" w:hAnsi="Arial" w:cs="Arial"/>
                <w:b/>
                <w:sz w:val="24"/>
                <w:szCs w:val="24"/>
              </w:rPr>
              <w:t>£ 6.3m Growth Deal contribution</w:t>
            </w:r>
          </w:p>
          <w:p w:rsidR="00B87DC6" w:rsidRPr="00B87DC6" w:rsidRDefault="00B87DC6" w:rsidP="00B87DC6">
            <w:pPr>
              <w:pStyle w:val="PlainText"/>
              <w:rPr>
                <w:rFonts w:ascii="Arial" w:hAnsi="Arial" w:cs="Arial"/>
                <w:b/>
                <w:sz w:val="24"/>
                <w:szCs w:val="24"/>
              </w:rPr>
            </w:pPr>
            <w:r w:rsidRPr="00B87DC6">
              <w:rPr>
                <w:rFonts w:ascii="Arial" w:hAnsi="Arial" w:cs="Arial"/>
                <w:b/>
                <w:sz w:val="24"/>
                <w:szCs w:val="24"/>
              </w:rPr>
              <w:t>To Lancashire Energy HQ</w:t>
            </w:r>
          </w:p>
        </w:tc>
      </w:tr>
    </w:tbl>
    <w:p w:rsidR="003C27AE" w:rsidRPr="00B87DC6" w:rsidRDefault="003C27AE" w:rsidP="00B87DC6">
      <w:pPr>
        <w:spacing w:after="0" w:line="240" w:lineRule="auto"/>
        <w:ind w:left="0" w:firstLine="0"/>
      </w:pPr>
    </w:p>
    <w:p w:rsidR="003C27AE" w:rsidRPr="00E718EE" w:rsidRDefault="003C27AE" w:rsidP="00B87DC6">
      <w:pPr>
        <w:spacing w:after="0" w:line="240" w:lineRule="auto"/>
        <w:ind w:left="0" w:firstLine="0"/>
        <w:rPr>
          <w:b/>
          <w:i/>
        </w:rPr>
      </w:pPr>
      <w:r w:rsidRPr="00E718EE">
        <w:rPr>
          <w:b/>
          <w:i/>
        </w:rPr>
        <w:t>Hillhouse Technology Enterprise Zone</w:t>
      </w:r>
    </w:p>
    <w:p w:rsidR="003C27AE" w:rsidRDefault="003C27AE" w:rsidP="003C27AE">
      <w:pPr>
        <w:spacing w:after="0" w:line="240" w:lineRule="auto"/>
        <w:ind w:left="0" w:firstLine="0"/>
      </w:pPr>
    </w:p>
    <w:p w:rsidR="00C735F2" w:rsidRPr="00C735F2" w:rsidRDefault="00C735F2" w:rsidP="00C735F2">
      <w:pPr>
        <w:spacing w:line="240" w:lineRule="auto"/>
        <w:rPr>
          <w:u w:val="single"/>
        </w:rPr>
      </w:pPr>
      <w:r w:rsidRPr="00C735F2">
        <w:rPr>
          <w:u w:val="single"/>
        </w:rPr>
        <w:t xml:space="preserve">Enquiries </w:t>
      </w:r>
    </w:p>
    <w:p w:rsidR="00C735F2" w:rsidRDefault="00C735F2" w:rsidP="00C735F2">
      <w:pPr>
        <w:spacing w:line="240" w:lineRule="auto"/>
      </w:pPr>
    </w:p>
    <w:p w:rsidR="00C735F2" w:rsidRDefault="00C735F2" w:rsidP="00C735F2">
      <w:pPr>
        <w:spacing w:line="240" w:lineRule="auto"/>
        <w:ind w:left="0" w:firstLine="0"/>
      </w:pPr>
      <w:r w:rsidRPr="00C735F2">
        <w:t>In excess of 30 enquiries have been received via the</w:t>
      </w:r>
      <w:r>
        <w:t xml:space="preserve"> Blackpool, Fylde and Wyre Economic Development Company and Wyre Council </w:t>
      </w:r>
      <w:r w:rsidRPr="00C735F2">
        <w:t>since April 2016</w:t>
      </w:r>
      <w:r>
        <w:t>.</w:t>
      </w:r>
    </w:p>
    <w:p w:rsidR="00C735F2" w:rsidRDefault="00C735F2" w:rsidP="00C735F2">
      <w:pPr>
        <w:spacing w:line="240" w:lineRule="auto"/>
        <w:ind w:left="0" w:firstLine="0"/>
      </w:pPr>
    </w:p>
    <w:p w:rsidR="00C735F2" w:rsidRDefault="00C735F2" w:rsidP="00C735F2">
      <w:pPr>
        <w:spacing w:line="240" w:lineRule="auto"/>
        <w:ind w:left="0" w:firstLine="0"/>
      </w:pPr>
      <w:r>
        <w:t>A</w:t>
      </w:r>
      <w:r w:rsidRPr="00C735F2">
        <w:t xml:space="preserve">dditional enquiries </w:t>
      </w:r>
      <w:r>
        <w:t xml:space="preserve">have also been </w:t>
      </w:r>
      <w:r w:rsidRPr="00C735F2">
        <w:t xml:space="preserve">received directly by </w:t>
      </w:r>
      <w:r>
        <w:t xml:space="preserve">the site owner </w:t>
      </w:r>
      <w:r w:rsidRPr="00C735F2">
        <w:t>NPL</w:t>
      </w:r>
      <w:r>
        <w:t>, including advanced negotiations with a prospective energy from waste operator who may require up to 250,000 ft</w:t>
      </w:r>
      <w:r w:rsidRPr="00C735F2">
        <w:rPr>
          <w:vertAlign w:val="superscript"/>
        </w:rPr>
        <w:t>2</w:t>
      </w:r>
      <w:r>
        <w:t xml:space="preserve"> of accommodation and proposals from Wyre Power (an NPL controlled company) to develop a large 850MW gas fired power station are progressing well, with the project now progressing through the National Infrastructure approval process, with memoranda of understanding having been signed with a Chinese consortium who would deliver the project on behalf of Wyre Power.  </w:t>
      </w:r>
    </w:p>
    <w:p w:rsidR="00C735F2" w:rsidRDefault="00C735F2" w:rsidP="002F7C5D">
      <w:pPr>
        <w:spacing w:line="240" w:lineRule="auto"/>
        <w:ind w:left="0" w:firstLine="0"/>
        <w:rPr>
          <w:u w:val="single"/>
        </w:rPr>
      </w:pPr>
    </w:p>
    <w:p w:rsidR="00C735F2" w:rsidRPr="00C735F2" w:rsidRDefault="00C735F2" w:rsidP="00C735F2">
      <w:pPr>
        <w:spacing w:after="0" w:line="240" w:lineRule="auto"/>
        <w:rPr>
          <w:u w:val="single"/>
        </w:rPr>
      </w:pPr>
      <w:r w:rsidRPr="00C735F2">
        <w:rPr>
          <w:u w:val="single"/>
        </w:rPr>
        <w:t xml:space="preserve">Master-plan </w:t>
      </w:r>
    </w:p>
    <w:p w:rsidR="00C735F2" w:rsidRPr="00C735F2" w:rsidRDefault="00C735F2" w:rsidP="00C735F2">
      <w:pPr>
        <w:spacing w:after="0" w:line="240" w:lineRule="auto"/>
        <w:rPr>
          <w:u w:val="single"/>
        </w:rPr>
      </w:pPr>
    </w:p>
    <w:p w:rsidR="00C735F2" w:rsidRDefault="00C735F2" w:rsidP="00C735F2">
      <w:pPr>
        <w:spacing w:after="0" w:line="240" w:lineRule="auto"/>
        <w:ind w:left="0" w:firstLine="0"/>
      </w:pPr>
      <w:r w:rsidRPr="00C735F2">
        <w:t>Following the award of £50,000 commercial support funding from DCLG in January 2017, it has been possible to progress the commissioning of a detailed master-plan for Hillhouse EZ. A tender exercise had been conducted in late 2016 and agreement reached in principle to appoint Mott McDonald.</w:t>
      </w:r>
    </w:p>
    <w:p w:rsidR="00C735F2" w:rsidRPr="00C735F2" w:rsidRDefault="00C735F2" w:rsidP="00C735F2">
      <w:pPr>
        <w:spacing w:after="0" w:line="240" w:lineRule="auto"/>
        <w:ind w:left="0" w:firstLine="0"/>
      </w:pPr>
    </w:p>
    <w:p w:rsidR="00C735F2" w:rsidRPr="00C735F2" w:rsidRDefault="00C735F2" w:rsidP="00C735F2">
      <w:pPr>
        <w:spacing w:after="0" w:line="240" w:lineRule="auto"/>
        <w:ind w:left="0" w:firstLine="0"/>
        <w:rPr>
          <w:b/>
          <w:color w:val="FF0000"/>
          <w:u w:val="single"/>
        </w:rPr>
      </w:pPr>
      <w:r w:rsidRPr="00C735F2">
        <w:t xml:space="preserve">Following  progress with specific development proposals for Hillhouse, NPL have now modified the brief for master-planning work and are negotiating with their </w:t>
      </w:r>
      <w:r w:rsidRPr="00C735F2">
        <w:lastRenderedPageBreak/>
        <w:t>preferred consultant  for a revised contract price, with a deal to be agreed and work commenced prior to 31</w:t>
      </w:r>
      <w:r w:rsidRPr="00C735F2">
        <w:rPr>
          <w:vertAlign w:val="superscript"/>
        </w:rPr>
        <w:t>st</w:t>
      </w:r>
      <w:r w:rsidRPr="00C735F2">
        <w:t xml:space="preserve"> March 2017 . </w:t>
      </w:r>
    </w:p>
    <w:p w:rsidR="00C735F2" w:rsidRPr="00C735F2" w:rsidRDefault="00C735F2" w:rsidP="00C735F2">
      <w:pPr>
        <w:spacing w:after="0" w:line="240" w:lineRule="auto"/>
        <w:ind w:left="0" w:firstLine="0"/>
      </w:pPr>
    </w:p>
    <w:p w:rsidR="00C735F2" w:rsidRPr="00C735F2" w:rsidRDefault="00C735F2" w:rsidP="00C735F2">
      <w:pPr>
        <w:spacing w:after="0" w:line="240" w:lineRule="auto"/>
        <w:ind w:left="0" w:firstLine="0"/>
      </w:pPr>
      <w:r w:rsidRPr="00C735F2">
        <w:t xml:space="preserve">It is anticipated that the master-plan and base economic  report will be available for consideration later this year and when approved will enable the delivery and Implementation plan to be completed and submitted to DCLG .                                                                                                                                                                                                                                                                                                                                                                                                                                                                                                                                                    </w:t>
      </w:r>
    </w:p>
    <w:p w:rsidR="00C735F2" w:rsidRPr="00C735F2" w:rsidRDefault="00C735F2" w:rsidP="00C735F2">
      <w:pPr>
        <w:spacing w:after="0" w:line="240" w:lineRule="auto"/>
      </w:pPr>
    </w:p>
    <w:p w:rsidR="00C735F2" w:rsidRPr="00C735F2" w:rsidRDefault="00C735F2" w:rsidP="00C735F2">
      <w:pPr>
        <w:spacing w:line="240" w:lineRule="auto"/>
        <w:rPr>
          <w:u w:val="single"/>
        </w:rPr>
      </w:pPr>
      <w:r w:rsidRPr="00C735F2">
        <w:rPr>
          <w:u w:val="single"/>
        </w:rPr>
        <w:t xml:space="preserve">Delivery and Implementation plan </w:t>
      </w:r>
    </w:p>
    <w:p w:rsidR="00C735F2" w:rsidRDefault="00C735F2" w:rsidP="00C735F2">
      <w:pPr>
        <w:spacing w:line="240" w:lineRule="auto"/>
      </w:pPr>
    </w:p>
    <w:p w:rsidR="00C735F2" w:rsidRDefault="00C735F2" w:rsidP="00C735F2">
      <w:pPr>
        <w:spacing w:line="240" w:lineRule="auto"/>
        <w:ind w:left="0" w:firstLine="0"/>
      </w:pPr>
      <w:r w:rsidRPr="00C735F2">
        <w:t xml:space="preserve">Under the terms of the Memorandum of Understanding signed with DCLG in November 2016 there is a requirement to submit </w:t>
      </w:r>
      <w:r>
        <w:t>a</w:t>
      </w:r>
      <w:r w:rsidRPr="00C735F2">
        <w:t xml:space="preserve"> Delivery Plan, Implementation Plan and a Marketing Strategy for Hillhouse to DCLG by the 31</w:t>
      </w:r>
      <w:r w:rsidRPr="00C735F2">
        <w:rPr>
          <w:vertAlign w:val="superscript"/>
        </w:rPr>
        <w:t>st</w:t>
      </w:r>
      <w:r w:rsidRPr="00C735F2">
        <w:t xml:space="preserve"> March 2017. </w:t>
      </w:r>
    </w:p>
    <w:p w:rsidR="00C735F2" w:rsidRDefault="00C735F2" w:rsidP="00C735F2">
      <w:pPr>
        <w:spacing w:line="240" w:lineRule="auto"/>
        <w:ind w:left="0" w:firstLine="0"/>
      </w:pPr>
    </w:p>
    <w:p w:rsidR="00C735F2" w:rsidRPr="00B87DC6" w:rsidRDefault="00C735F2" w:rsidP="00C735F2">
      <w:pPr>
        <w:spacing w:line="240" w:lineRule="auto"/>
        <w:ind w:left="0" w:firstLine="0"/>
      </w:pPr>
      <w:r>
        <w:t xml:space="preserve">Colleagues on the Fylde Coast have approached DCLG to formally </w:t>
      </w:r>
      <w:r w:rsidRPr="00B87DC6">
        <w:t xml:space="preserve">request an extension of time to submit these key documents, </w:t>
      </w:r>
      <w:r>
        <w:t xml:space="preserve">from March to August </w:t>
      </w:r>
      <w:r w:rsidRPr="00B87DC6">
        <w:t>2017.</w:t>
      </w:r>
    </w:p>
    <w:p w:rsidR="00C735F2" w:rsidRDefault="00C735F2" w:rsidP="00C735F2">
      <w:pPr>
        <w:spacing w:line="240" w:lineRule="auto"/>
        <w:ind w:left="0" w:firstLine="0"/>
        <w:rPr>
          <w:u w:val="single"/>
        </w:rPr>
      </w:pPr>
    </w:p>
    <w:p w:rsidR="00345933" w:rsidRDefault="00C735F2" w:rsidP="00C735F2">
      <w:pPr>
        <w:spacing w:line="240" w:lineRule="auto"/>
        <w:rPr>
          <w:u w:val="single"/>
        </w:rPr>
      </w:pPr>
      <w:r w:rsidRPr="00C735F2">
        <w:rPr>
          <w:u w:val="single"/>
        </w:rPr>
        <w:t xml:space="preserve">Key Statistics  </w:t>
      </w:r>
    </w:p>
    <w:p w:rsidR="00C735F2" w:rsidRPr="00C735F2" w:rsidRDefault="00C735F2" w:rsidP="00C735F2">
      <w:pPr>
        <w:spacing w:line="240" w:lineRule="auto"/>
        <w:rPr>
          <w:u w:val="single"/>
        </w:rPr>
      </w:pPr>
      <w:r w:rsidRPr="00C735F2">
        <w:rPr>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81"/>
      </w:tblGrid>
      <w:tr w:rsidR="00C735F2" w:rsidRPr="00C735F2" w:rsidTr="00C735F2">
        <w:tc>
          <w:tcPr>
            <w:tcW w:w="5353" w:type="dxa"/>
          </w:tcPr>
          <w:p w:rsidR="00C735F2" w:rsidRPr="00345933" w:rsidRDefault="00C735F2" w:rsidP="00345933">
            <w:pPr>
              <w:pStyle w:val="ListParagraph"/>
              <w:numPr>
                <w:ilvl w:val="0"/>
                <w:numId w:val="25"/>
              </w:numPr>
              <w:spacing w:line="240" w:lineRule="auto"/>
              <w:rPr>
                <w:u w:val="single"/>
              </w:rPr>
            </w:pPr>
            <w:r w:rsidRPr="00C735F2">
              <w:t>Number of jobs created/ relocated  and safeguarded</w:t>
            </w:r>
          </w:p>
        </w:tc>
        <w:tc>
          <w:tcPr>
            <w:tcW w:w="3889" w:type="dxa"/>
          </w:tcPr>
          <w:p w:rsidR="00C735F2" w:rsidRPr="00C735F2" w:rsidRDefault="00C735F2" w:rsidP="00C735F2">
            <w:pPr>
              <w:spacing w:line="240" w:lineRule="auto"/>
              <w:rPr>
                <w:b/>
              </w:rPr>
            </w:pPr>
            <w:r w:rsidRPr="00C735F2">
              <w:rPr>
                <w:b/>
              </w:rPr>
              <w:t>20</w:t>
            </w:r>
          </w:p>
          <w:p w:rsidR="00C735F2" w:rsidRPr="00C735F2" w:rsidRDefault="00C735F2" w:rsidP="00C735F2">
            <w:pPr>
              <w:spacing w:line="240" w:lineRule="auto"/>
              <w:rPr>
                <w:u w:val="single"/>
              </w:rPr>
            </w:pPr>
          </w:p>
        </w:tc>
      </w:tr>
      <w:tr w:rsidR="00C735F2" w:rsidRPr="00C735F2" w:rsidTr="00C735F2">
        <w:tc>
          <w:tcPr>
            <w:tcW w:w="5353" w:type="dxa"/>
          </w:tcPr>
          <w:p w:rsidR="00C735F2" w:rsidRPr="00C735F2" w:rsidRDefault="00C735F2" w:rsidP="00345933">
            <w:pPr>
              <w:pStyle w:val="ListParagraph"/>
              <w:numPr>
                <w:ilvl w:val="0"/>
                <w:numId w:val="25"/>
              </w:numPr>
              <w:spacing w:line="240" w:lineRule="auto"/>
            </w:pPr>
            <w:r w:rsidRPr="00C735F2">
              <w:t>Company locations to the site</w:t>
            </w:r>
          </w:p>
          <w:p w:rsidR="00C735F2" w:rsidRPr="00C735F2" w:rsidRDefault="00C735F2" w:rsidP="00C735F2">
            <w:pPr>
              <w:spacing w:line="240" w:lineRule="auto"/>
            </w:pPr>
          </w:p>
        </w:tc>
        <w:tc>
          <w:tcPr>
            <w:tcW w:w="3889" w:type="dxa"/>
          </w:tcPr>
          <w:p w:rsidR="00C735F2" w:rsidRPr="00C735F2" w:rsidRDefault="00C735F2" w:rsidP="00C735F2">
            <w:pPr>
              <w:spacing w:line="240" w:lineRule="auto"/>
              <w:rPr>
                <w:b/>
              </w:rPr>
            </w:pPr>
            <w:r w:rsidRPr="00C735F2">
              <w:rPr>
                <w:b/>
              </w:rPr>
              <w:t>1</w:t>
            </w:r>
          </w:p>
        </w:tc>
      </w:tr>
      <w:tr w:rsidR="00C735F2" w:rsidRPr="00C735F2" w:rsidTr="00C735F2">
        <w:tc>
          <w:tcPr>
            <w:tcW w:w="5353" w:type="dxa"/>
          </w:tcPr>
          <w:p w:rsidR="00C735F2" w:rsidRPr="00C735F2" w:rsidRDefault="00C735F2" w:rsidP="00345933">
            <w:pPr>
              <w:pStyle w:val="ListParagraph"/>
              <w:numPr>
                <w:ilvl w:val="0"/>
                <w:numId w:val="25"/>
              </w:numPr>
              <w:spacing w:line="240" w:lineRule="auto"/>
            </w:pPr>
            <w:r w:rsidRPr="00C735F2">
              <w:t>Estimated  Value of investment  to date</w:t>
            </w:r>
          </w:p>
        </w:tc>
        <w:tc>
          <w:tcPr>
            <w:tcW w:w="3889" w:type="dxa"/>
          </w:tcPr>
          <w:p w:rsidR="00C735F2" w:rsidRPr="00C735F2" w:rsidRDefault="00C735F2" w:rsidP="00C735F2">
            <w:pPr>
              <w:spacing w:line="240" w:lineRule="auto"/>
              <w:rPr>
                <w:u w:val="single"/>
              </w:rPr>
            </w:pPr>
            <w:r w:rsidRPr="00C735F2">
              <w:rPr>
                <w:b/>
              </w:rPr>
              <w:t>Circa £6m</w:t>
            </w:r>
          </w:p>
        </w:tc>
      </w:tr>
      <w:tr w:rsidR="00C735F2" w:rsidRPr="00C735F2" w:rsidTr="00C735F2">
        <w:tc>
          <w:tcPr>
            <w:tcW w:w="5353" w:type="dxa"/>
          </w:tcPr>
          <w:p w:rsidR="00C735F2" w:rsidRDefault="00C735F2" w:rsidP="00C735F2">
            <w:pPr>
              <w:spacing w:line="240" w:lineRule="auto"/>
            </w:pPr>
          </w:p>
          <w:p w:rsidR="00C735F2" w:rsidRPr="00345933" w:rsidRDefault="00C735F2" w:rsidP="00345933">
            <w:pPr>
              <w:pStyle w:val="ListParagraph"/>
              <w:numPr>
                <w:ilvl w:val="0"/>
                <w:numId w:val="25"/>
              </w:numPr>
              <w:spacing w:line="240" w:lineRule="auto"/>
              <w:rPr>
                <w:u w:val="single"/>
              </w:rPr>
            </w:pPr>
            <w:r w:rsidRPr="00C735F2">
              <w:t>Commercial floor-space delivered (refurbished)</w:t>
            </w:r>
          </w:p>
        </w:tc>
        <w:tc>
          <w:tcPr>
            <w:tcW w:w="3889" w:type="dxa"/>
          </w:tcPr>
          <w:p w:rsidR="00345933" w:rsidRDefault="00345933" w:rsidP="00C735F2">
            <w:pPr>
              <w:spacing w:line="240" w:lineRule="auto"/>
              <w:rPr>
                <w:b/>
              </w:rPr>
            </w:pPr>
          </w:p>
          <w:p w:rsidR="00C735F2" w:rsidRPr="00C735F2" w:rsidRDefault="00345933" w:rsidP="00C735F2">
            <w:pPr>
              <w:spacing w:line="240" w:lineRule="auto"/>
            </w:pPr>
            <w:r>
              <w:rPr>
                <w:b/>
              </w:rPr>
              <w:t>N</w:t>
            </w:r>
            <w:r w:rsidR="00C735F2" w:rsidRPr="00C735F2">
              <w:rPr>
                <w:b/>
              </w:rPr>
              <w:t>on</w:t>
            </w:r>
            <w:r>
              <w:rPr>
                <w:b/>
              </w:rPr>
              <w:t>e</w:t>
            </w:r>
            <w:r w:rsidR="00C735F2" w:rsidRPr="00C735F2">
              <w:rPr>
                <w:b/>
              </w:rPr>
              <w:t xml:space="preserve">  yet completed</w:t>
            </w:r>
            <w:r w:rsidR="00C735F2" w:rsidRPr="00C735F2">
              <w:t xml:space="preserve">    </w:t>
            </w:r>
          </w:p>
          <w:p w:rsidR="00C735F2" w:rsidRPr="00C735F2" w:rsidRDefault="00C735F2" w:rsidP="00C735F2">
            <w:pPr>
              <w:spacing w:line="240" w:lineRule="auto"/>
              <w:rPr>
                <w:u w:val="single"/>
              </w:rPr>
            </w:pPr>
          </w:p>
        </w:tc>
      </w:tr>
      <w:tr w:rsidR="00C735F2" w:rsidRPr="00C735F2" w:rsidTr="00C735F2">
        <w:tc>
          <w:tcPr>
            <w:tcW w:w="5353" w:type="dxa"/>
          </w:tcPr>
          <w:p w:rsidR="00C735F2" w:rsidRPr="00345933" w:rsidRDefault="00C735F2" w:rsidP="00345933">
            <w:pPr>
              <w:pStyle w:val="ListParagraph"/>
              <w:numPr>
                <w:ilvl w:val="0"/>
                <w:numId w:val="25"/>
              </w:numPr>
              <w:spacing w:line="240" w:lineRule="auto"/>
              <w:rPr>
                <w:u w:val="single"/>
              </w:rPr>
            </w:pPr>
            <w:r w:rsidRPr="00C735F2">
              <w:t xml:space="preserve">Commercial floor space in </w:t>
            </w:r>
            <w:r>
              <w:t>d</w:t>
            </w:r>
            <w:r w:rsidRPr="00C735F2">
              <w:t>evelopment/negotiation</w:t>
            </w:r>
          </w:p>
        </w:tc>
        <w:tc>
          <w:tcPr>
            <w:tcW w:w="3889" w:type="dxa"/>
          </w:tcPr>
          <w:p w:rsidR="00C735F2" w:rsidRPr="00C735F2" w:rsidRDefault="00C735F2" w:rsidP="00C735F2">
            <w:pPr>
              <w:spacing w:line="240" w:lineRule="auto"/>
              <w:rPr>
                <w:b/>
              </w:rPr>
            </w:pPr>
            <w:r w:rsidRPr="00C735F2">
              <w:rPr>
                <w:b/>
              </w:rPr>
              <w:t>Circa 300,000 sq. ft.</w:t>
            </w:r>
          </w:p>
          <w:p w:rsidR="00C735F2" w:rsidRPr="00C735F2" w:rsidRDefault="00C735F2" w:rsidP="00C735F2">
            <w:pPr>
              <w:spacing w:line="240" w:lineRule="auto"/>
              <w:rPr>
                <w:u w:val="single"/>
              </w:rPr>
            </w:pPr>
          </w:p>
        </w:tc>
      </w:tr>
      <w:tr w:rsidR="00C735F2" w:rsidRPr="00C735F2" w:rsidTr="00C735F2">
        <w:tc>
          <w:tcPr>
            <w:tcW w:w="5353" w:type="dxa"/>
          </w:tcPr>
          <w:p w:rsidR="00C735F2" w:rsidRPr="00345933" w:rsidRDefault="00C735F2" w:rsidP="00345933">
            <w:pPr>
              <w:pStyle w:val="ListParagraph"/>
              <w:numPr>
                <w:ilvl w:val="0"/>
                <w:numId w:val="25"/>
              </w:numPr>
              <w:spacing w:line="240" w:lineRule="auto"/>
              <w:rPr>
                <w:u w:val="single"/>
              </w:rPr>
            </w:pPr>
            <w:r w:rsidRPr="00C735F2">
              <w:t xml:space="preserve">Type </w:t>
            </w:r>
            <w:r>
              <w:t xml:space="preserve">and value of any infrastructure </w:t>
            </w:r>
            <w:r w:rsidRPr="00C735F2">
              <w:t>investment</w:t>
            </w:r>
          </w:p>
        </w:tc>
        <w:tc>
          <w:tcPr>
            <w:tcW w:w="3889" w:type="dxa"/>
          </w:tcPr>
          <w:p w:rsidR="00C735F2" w:rsidRPr="00C735F2" w:rsidRDefault="00C735F2" w:rsidP="00C735F2">
            <w:pPr>
              <w:spacing w:line="240" w:lineRule="auto"/>
              <w:rPr>
                <w:b/>
              </w:rPr>
            </w:pPr>
            <w:r w:rsidRPr="00C735F2">
              <w:rPr>
                <w:b/>
              </w:rPr>
              <w:t>Not yet underway</w:t>
            </w:r>
          </w:p>
          <w:p w:rsidR="00C735F2" w:rsidRPr="00C735F2" w:rsidRDefault="00C735F2" w:rsidP="00C735F2">
            <w:pPr>
              <w:spacing w:line="240" w:lineRule="auto"/>
              <w:rPr>
                <w:u w:val="single"/>
              </w:rPr>
            </w:pPr>
          </w:p>
        </w:tc>
      </w:tr>
      <w:tr w:rsidR="00C735F2" w:rsidRPr="00C735F2" w:rsidTr="00C735F2">
        <w:tc>
          <w:tcPr>
            <w:tcW w:w="5353" w:type="dxa"/>
          </w:tcPr>
          <w:p w:rsidR="00C735F2" w:rsidRPr="00345933" w:rsidRDefault="00C735F2" w:rsidP="00345933">
            <w:pPr>
              <w:pStyle w:val="ListParagraph"/>
              <w:numPr>
                <w:ilvl w:val="0"/>
                <w:numId w:val="25"/>
              </w:numPr>
              <w:spacing w:line="240" w:lineRule="auto"/>
              <w:rPr>
                <w:u w:val="single"/>
              </w:rPr>
            </w:pPr>
            <w:r w:rsidRPr="00C735F2">
              <w:t>Number of live enquiries</w:t>
            </w:r>
          </w:p>
        </w:tc>
        <w:tc>
          <w:tcPr>
            <w:tcW w:w="3889" w:type="dxa"/>
          </w:tcPr>
          <w:p w:rsidR="00C735F2" w:rsidRPr="00C735F2" w:rsidRDefault="00C735F2" w:rsidP="00C735F2">
            <w:pPr>
              <w:spacing w:line="240" w:lineRule="auto"/>
            </w:pPr>
            <w:r w:rsidRPr="00C735F2">
              <w:rPr>
                <w:b/>
              </w:rPr>
              <w:t xml:space="preserve">8 bespoke </w:t>
            </w:r>
            <w:r w:rsidRPr="00C735F2">
              <w:t xml:space="preserve"> </w:t>
            </w:r>
          </w:p>
          <w:p w:rsidR="00C735F2" w:rsidRPr="00C735F2" w:rsidRDefault="00C735F2" w:rsidP="00C735F2">
            <w:pPr>
              <w:spacing w:line="240" w:lineRule="auto"/>
              <w:rPr>
                <w:u w:val="single"/>
              </w:rPr>
            </w:pPr>
          </w:p>
        </w:tc>
      </w:tr>
      <w:tr w:rsidR="00C735F2" w:rsidRPr="00C735F2" w:rsidTr="00C735F2">
        <w:tc>
          <w:tcPr>
            <w:tcW w:w="5353" w:type="dxa"/>
          </w:tcPr>
          <w:p w:rsidR="00C735F2" w:rsidRPr="00345933" w:rsidRDefault="00C735F2" w:rsidP="00345933">
            <w:pPr>
              <w:pStyle w:val="ListParagraph"/>
              <w:numPr>
                <w:ilvl w:val="0"/>
                <w:numId w:val="25"/>
              </w:numPr>
              <w:spacing w:line="240" w:lineRule="auto"/>
              <w:rPr>
                <w:u w:val="single"/>
              </w:rPr>
            </w:pPr>
            <w:r w:rsidRPr="00C735F2">
              <w:t>Planning frameworks implemented</w:t>
            </w:r>
          </w:p>
        </w:tc>
        <w:tc>
          <w:tcPr>
            <w:tcW w:w="3889" w:type="dxa"/>
          </w:tcPr>
          <w:p w:rsidR="00C735F2" w:rsidRPr="00C735F2" w:rsidRDefault="00C735F2" w:rsidP="00C735F2">
            <w:pPr>
              <w:spacing w:line="240" w:lineRule="auto"/>
              <w:rPr>
                <w:b/>
              </w:rPr>
            </w:pPr>
            <w:r w:rsidRPr="00C735F2">
              <w:rPr>
                <w:b/>
              </w:rPr>
              <w:t>Awaiting Masterplan</w:t>
            </w:r>
          </w:p>
          <w:p w:rsidR="00C735F2" w:rsidRPr="00C735F2" w:rsidRDefault="00C735F2" w:rsidP="00C735F2">
            <w:pPr>
              <w:spacing w:line="240" w:lineRule="auto"/>
              <w:rPr>
                <w:u w:val="single"/>
              </w:rPr>
            </w:pPr>
          </w:p>
        </w:tc>
      </w:tr>
      <w:tr w:rsidR="00C735F2" w:rsidRPr="00C735F2" w:rsidTr="00C735F2">
        <w:tc>
          <w:tcPr>
            <w:tcW w:w="5353" w:type="dxa"/>
          </w:tcPr>
          <w:p w:rsidR="00C735F2" w:rsidRPr="00C735F2" w:rsidRDefault="00C735F2" w:rsidP="00345933">
            <w:pPr>
              <w:pStyle w:val="ListParagraph"/>
              <w:numPr>
                <w:ilvl w:val="0"/>
                <w:numId w:val="25"/>
              </w:numPr>
              <w:spacing w:line="240" w:lineRule="auto"/>
            </w:pPr>
            <w:r w:rsidRPr="00C735F2">
              <w:t>Public funding secured</w:t>
            </w:r>
          </w:p>
        </w:tc>
        <w:tc>
          <w:tcPr>
            <w:tcW w:w="3889" w:type="dxa"/>
          </w:tcPr>
          <w:p w:rsidR="00C735F2" w:rsidRPr="00C735F2" w:rsidRDefault="00C735F2" w:rsidP="00345933">
            <w:pPr>
              <w:spacing w:line="240" w:lineRule="auto"/>
              <w:ind w:left="0" w:firstLine="0"/>
              <w:rPr>
                <w:b/>
              </w:rPr>
            </w:pPr>
            <w:r w:rsidRPr="00C735F2">
              <w:rPr>
                <w:b/>
              </w:rPr>
              <w:t>£</w:t>
            </w:r>
            <w:r w:rsidR="00345933">
              <w:rPr>
                <w:b/>
              </w:rPr>
              <w:t xml:space="preserve">50,000 DCLG commercial </w:t>
            </w:r>
            <w:r w:rsidRPr="00C735F2">
              <w:rPr>
                <w:b/>
              </w:rPr>
              <w:t>support</w:t>
            </w:r>
          </w:p>
          <w:p w:rsidR="00C735F2" w:rsidRPr="00C735F2" w:rsidRDefault="00C735F2" w:rsidP="00C735F2">
            <w:pPr>
              <w:spacing w:line="240" w:lineRule="auto"/>
              <w:rPr>
                <w:b/>
              </w:rPr>
            </w:pPr>
            <w:r w:rsidRPr="00C735F2">
              <w:rPr>
                <w:b/>
              </w:rPr>
              <w:t>£1.3M RGF (Victrex)</w:t>
            </w:r>
          </w:p>
          <w:p w:rsidR="00C735F2" w:rsidRPr="00C735F2" w:rsidRDefault="00C735F2" w:rsidP="00C735F2">
            <w:pPr>
              <w:spacing w:line="240" w:lineRule="auto"/>
              <w:rPr>
                <w:b/>
              </w:rPr>
            </w:pPr>
          </w:p>
        </w:tc>
      </w:tr>
      <w:tr w:rsidR="00C735F2" w:rsidRPr="00C735F2" w:rsidTr="00C735F2">
        <w:tc>
          <w:tcPr>
            <w:tcW w:w="5353" w:type="dxa"/>
          </w:tcPr>
          <w:p w:rsidR="00C735F2" w:rsidRPr="00C735F2" w:rsidRDefault="00C735F2" w:rsidP="00345933">
            <w:pPr>
              <w:pStyle w:val="ListParagraph"/>
              <w:numPr>
                <w:ilvl w:val="0"/>
                <w:numId w:val="25"/>
              </w:numPr>
              <w:spacing w:line="240" w:lineRule="auto"/>
            </w:pPr>
            <w:r w:rsidRPr="00C735F2">
              <w:t>Business rate relief awarded</w:t>
            </w:r>
          </w:p>
        </w:tc>
        <w:tc>
          <w:tcPr>
            <w:tcW w:w="3889" w:type="dxa"/>
          </w:tcPr>
          <w:p w:rsidR="00C735F2" w:rsidRPr="00C735F2" w:rsidRDefault="00C735F2" w:rsidP="00C735F2">
            <w:pPr>
              <w:spacing w:line="240" w:lineRule="auto"/>
            </w:pPr>
            <w:r w:rsidRPr="00C735F2">
              <w:rPr>
                <w:b/>
              </w:rPr>
              <w:t>£ nil  ( 5 year cumulative</w:t>
            </w:r>
            <w:r w:rsidRPr="00C735F2">
              <w:t>)</w:t>
            </w:r>
          </w:p>
          <w:p w:rsidR="00C735F2" w:rsidRPr="00C735F2" w:rsidRDefault="00C735F2" w:rsidP="00C735F2">
            <w:pPr>
              <w:spacing w:line="240" w:lineRule="auto"/>
              <w:rPr>
                <w:b/>
              </w:rPr>
            </w:pPr>
          </w:p>
        </w:tc>
      </w:tr>
      <w:tr w:rsidR="00C735F2" w:rsidRPr="00C735F2" w:rsidTr="00C735F2">
        <w:tc>
          <w:tcPr>
            <w:tcW w:w="5353" w:type="dxa"/>
          </w:tcPr>
          <w:p w:rsidR="00C735F2" w:rsidRPr="00C735F2" w:rsidRDefault="00C735F2" w:rsidP="00345933">
            <w:pPr>
              <w:pStyle w:val="ListParagraph"/>
              <w:numPr>
                <w:ilvl w:val="0"/>
                <w:numId w:val="25"/>
              </w:numPr>
              <w:spacing w:line="240" w:lineRule="auto"/>
            </w:pPr>
            <w:r w:rsidRPr="00C735F2">
              <w:t>ECA awarded</w:t>
            </w:r>
          </w:p>
        </w:tc>
        <w:tc>
          <w:tcPr>
            <w:tcW w:w="3889" w:type="dxa"/>
          </w:tcPr>
          <w:p w:rsidR="00C735F2" w:rsidRPr="00C735F2" w:rsidRDefault="00C735F2" w:rsidP="00C735F2">
            <w:pPr>
              <w:spacing w:line="240" w:lineRule="auto"/>
            </w:pPr>
            <w:r w:rsidRPr="00C735F2">
              <w:rPr>
                <w:b/>
              </w:rPr>
              <w:t>Nil claimed to date</w:t>
            </w:r>
            <w:r w:rsidRPr="00C735F2">
              <w:t xml:space="preserve">   </w:t>
            </w:r>
          </w:p>
          <w:p w:rsidR="00C735F2" w:rsidRPr="00C735F2" w:rsidRDefault="00C735F2" w:rsidP="00C735F2">
            <w:pPr>
              <w:spacing w:line="240" w:lineRule="auto"/>
              <w:rPr>
                <w:b/>
              </w:rPr>
            </w:pPr>
          </w:p>
        </w:tc>
      </w:tr>
      <w:tr w:rsidR="00C735F2" w:rsidRPr="00C735F2" w:rsidTr="00C735F2">
        <w:tc>
          <w:tcPr>
            <w:tcW w:w="5353" w:type="dxa"/>
          </w:tcPr>
          <w:p w:rsidR="00C735F2" w:rsidRPr="00C735F2" w:rsidRDefault="00C735F2" w:rsidP="00345933">
            <w:pPr>
              <w:pStyle w:val="ListParagraph"/>
              <w:numPr>
                <w:ilvl w:val="0"/>
                <w:numId w:val="25"/>
              </w:numPr>
              <w:spacing w:line="240" w:lineRule="auto"/>
            </w:pPr>
            <w:r w:rsidRPr="00C735F2">
              <w:t>Status of masterplan</w:t>
            </w:r>
          </w:p>
        </w:tc>
        <w:tc>
          <w:tcPr>
            <w:tcW w:w="3889" w:type="dxa"/>
          </w:tcPr>
          <w:p w:rsidR="00C735F2" w:rsidRPr="00C735F2" w:rsidRDefault="00C735F2" w:rsidP="00C735F2">
            <w:pPr>
              <w:spacing w:line="240" w:lineRule="auto"/>
              <w:ind w:left="0" w:firstLine="0"/>
              <w:rPr>
                <w:b/>
              </w:rPr>
            </w:pPr>
            <w:r w:rsidRPr="00C735F2">
              <w:rPr>
                <w:b/>
              </w:rPr>
              <w:t>Consultant appointment pending</w:t>
            </w:r>
          </w:p>
          <w:p w:rsidR="00C735F2" w:rsidRPr="00C735F2" w:rsidRDefault="00C735F2" w:rsidP="00C735F2">
            <w:pPr>
              <w:spacing w:line="240" w:lineRule="auto"/>
              <w:rPr>
                <w:b/>
              </w:rPr>
            </w:pPr>
          </w:p>
        </w:tc>
      </w:tr>
    </w:tbl>
    <w:p w:rsidR="002F7C5D" w:rsidRDefault="002F7C5D" w:rsidP="00E718EE">
      <w:pPr>
        <w:pStyle w:val="PlainText"/>
        <w:rPr>
          <w:rFonts w:ascii="Arial" w:hAnsi="Arial" w:cs="Arial"/>
          <w:b/>
          <w:sz w:val="24"/>
          <w:szCs w:val="24"/>
        </w:rPr>
      </w:pPr>
    </w:p>
    <w:p w:rsidR="002F7C5D" w:rsidRDefault="002F7C5D" w:rsidP="00E718EE">
      <w:pPr>
        <w:pStyle w:val="PlainText"/>
        <w:rPr>
          <w:rFonts w:ascii="Arial" w:hAnsi="Arial" w:cs="Arial"/>
          <w:b/>
          <w:sz w:val="24"/>
          <w:szCs w:val="24"/>
        </w:rPr>
      </w:pPr>
    </w:p>
    <w:p w:rsidR="002F7C5D" w:rsidRDefault="002F7C5D" w:rsidP="00E718EE">
      <w:pPr>
        <w:pStyle w:val="PlainText"/>
        <w:rPr>
          <w:rFonts w:ascii="Arial" w:hAnsi="Arial" w:cs="Arial"/>
          <w:b/>
          <w:sz w:val="24"/>
          <w:szCs w:val="24"/>
        </w:rPr>
      </w:pPr>
    </w:p>
    <w:p w:rsidR="002F7C5D" w:rsidRDefault="002F7C5D" w:rsidP="00E718EE">
      <w:pPr>
        <w:pStyle w:val="PlainText"/>
        <w:rPr>
          <w:rFonts w:ascii="Arial" w:hAnsi="Arial" w:cs="Arial"/>
          <w:b/>
          <w:sz w:val="24"/>
          <w:szCs w:val="24"/>
        </w:rPr>
      </w:pPr>
    </w:p>
    <w:p w:rsidR="00C735F2" w:rsidRPr="00E718EE" w:rsidRDefault="00C735F2" w:rsidP="00E718EE">
      <w:pPr>
        <w:pStyle w:val="PlainText"/>
        <w:rPr>
          <w:rFonts w:ascii="Arial" w:hAnsi="Arial" w:cs="Arial"/>
          <w:b/>
          <w:sz w:val="24"/>
          <w:szCs w:val="24"/>
        </w:rPr>
      </w:pPr>
      <w:bookmarkStart w:id="0" w:name="_GoBack"/>
      <w:bookmarkEnd w:id="0"/>
      <w:r w:rsidRPr="00E718EE">
        <w:rPr>
          <w:rFonts w:ascii="Arial" w:hAnsi="Arial" w:cs="Arial"/>
          <w:b/>
          <w:sz w:val="24"/>
          <w:szCs w:val="24"/>
        </w:rPr>
        <w:lastRenderedPageBreak/>
        <w:t>Boost Business Growth Hub</w:t>
      </w:r>
    </w:p>
    <w:p w:rsidR="00E718EE" w:rsidRPr="00E718EE" w:rsidRDefault="00E718EE" w:rsidP="00E718EE">
      <w:pPr>
        <w:pStyle w:val="PlainText"/>
        <w:rPr>
          <w:rFonts w:ascii="Arial" w:hAnsi="Arial" w:cs="Arial"/>
          <w:b/>
          <w:sz w:val="24"/>
          <w:szCs w:val="24"/>
        </w:rPr>
      </w:pPr>
    </w:p>
    <w:p w:rsidR="00E718EE" w:rsidRPr="00E718EE" w:rsidRDefault="00E718EE" w:rsidP="00E718EE">
      <w:pPr>
        <w:spacing w:line="240" w:lineRule="auto"/>
        <w:rPr>
          <w:rFonts w:eastAsiaTheme="minorHAnsi"/>
          <w:b/>
          <w:color w:val="auto"/>
        </w:rPr>
      </w:pPr>
      <w:r w:rsidRPr="00E718EE">
        <w:rPr>
          <w:b/>
        </w:rPr>
        <w:t>Boost Performance Report 23/03/2017</w:t>
      </w:r>
    </w:p>
    <w:p w:rsidR="00E718EE" w:rsidRDefault="00E718EE" w:rsidP="00E718EE">
      <w:pPr>
        <w:spacing w:line="240" w:lineRule="auto"/>
      </w:pPr>
    </w:p>
    <w:p w:rsidR="00E718EE" w:rsidRPr="00E718EE" w:rsidRDefault="00E718EE" w:rsidP="00E718EE">
      <w:pPr>
        <w:spacing w:line="240" w:lineRule="auto"/>
        <w:ind w:left="0" w:firstLine="0"/>
      </w:pPr>
      <w:r w:rsidRPr="00E718EE">
        <w:t>Boost, Lancashire's Business Growth Hub</w:t>
      </w:r>
      <w:r>
        <w:t>,</w:t>
      </w:r>
      <w:r w:rsidRPr="00E718EE">
        <w:t xml:space="preserve"> has now been operational since 2012 and was one of the first English Growth Hubs to be established.  </w:t>
      </w:r>
      <w:r>
        <w:t>It is now p</w:t>
      </w:r>
      <w:r w:rsidRPr="00E718EE">
        <w:t>art of a national network of 40 hubs covering the whole country.</w:t>
      </w:r>
    </w:p>
    <w:p w:rsidR="00E718EE" w:rsidRDefault="00E718EE" w:rsidP="00E718EE">
      <w:pPr>
        <w:spacing w:line="240" w:lineRule="auto"/>
        <w:ind w:left="0" w:firstLine="0"/>
      </w:pPr>
    </w:p>
    <w:p w:rsidR="00E718EE" w:rsidRPr="00E718EE" w:rsidRDefault="00E718EE" w:rsidP="00E718EE">
      <w:pPr>
        <w:spacing w:line="240" w:lineRule="auto"/>
        <w:ind w:left="0" w:firstLine="0"/>
      </w:pPr>
      <w:r w:rsidRPr="00E718EE">
        <w:t>In just over four years of operation, Boost has supported almost 5,000 Lancashire businesses to develop and implement their plans for growth, leading to the creation of 1</w:t>
      </w:r>
      <w:r>
        <w:t>,</w:t>
      </w:r>
      <w:r w:rsidRPr="00E718EE">
        <w:t>300 new jobs.</w:t>
      </w:r>
    </w:p>
    <w:p w:rsidR="00E718EE" w:rsidRDefault="00E718EE" w:rsidP="00E718EE">
      <w:pPr>
        <w:spacing w:line="240" w:lineRule="auto"/>
        <w:ind w:left="0" w:firstLine="0"/>
      </w:pPr>
    </w:p>
    <w:p w:rsidR="00E718EE" w:rsidRPr="00E718EE" w:rsidRDefault="00E718EE" w:rsidP="00E718EE">
      <w:pPr>
        <w:spacing w:line="240" w:lineRule="auto"/>
        <w:ind w:left="0" w:firstLine="0"/>
      </w:pPr>
      <w:r w:rsidRPr="00E718EE">
        <w:t>Boost now sits at the heart of a Lancashire network of over 20 programmes of publicly-funded business support.  Together</w:t>
      </w:r>
      <w:r>
        <w:t>,</w:t>
      </w:r>
      <w:r w:rsidRPr="00E718EE">
        <w:t xml:space="preserve"> these programmes have over </w:t>
      </w:r>
      <w:r>
        <w:t>£30m</w:t>
      </w:r>
      <w:r w:rsidRPr="00E718EE">
        <w:t xml:space="preserve"> worth of finance, development and training support on-tap for Lancashire businesses.  </w:t>
      </w:r>
    </w:p>
    <w:p w:rsidR="00E718EE" w:rsidRDefault="00E718EE" w:rsidP="00E718EE">
      <w:pPr>
        <w:spacing w:line="240" w:lineRule="auto"/>
        <w:ind w:left="0" w:firstLine="0"/>
      </w:pPr>
    </w:p>
    <w:p w:rsidR="00E718EE" w:rsidRPr="00E718EE" w:rsidRDefault="00E718EE" w:rsidP="00E718EE">
      <w:pPr>
        <w:spacing w:line="240" w:lineRule="auto"/>
        <w:ind w:left="0" w:firstLine="0"/>
      </w:pPr>
      <w:r w:rsidRPr="00E718EE">
        <w:t>We realise that this landscape of provision can be hard to navigate but advisers in the Boost Gateway service can ensure that businesses get access to the right programmes at the right time.</w:t>
      </w:r>
    </w:p>
    <w:p w:rsidR="00E718EE" w:rsidRDefault="00E718EE" w:rsidP="00E718EE">
      <w:pPr>
        <w:spacing w:line="240" w:lineRule="auto"/>
        <w:ind w:left="0" w:firstLine="0"/>
      </w:pPr>
    </w:p>
    <w:p w:rsidR="00E718EE" w:rsidRPr="00E718EE" w:rsidRDefault="00E718EE" w:rsidP="00E718EE">
      <w:pPr>
        <w:spacing w:line="240" w:lineRule="auto"/>
        <w:ind w:left="0" w:firstLine="0"/>
      </w:pPr>
      <w:r w:rsidRPr="00E718EE">
        <w:t>Despite the well-publicised challenges to local authority budgets, Lancashire County Council has remained the largest single funder of Boost and will have provided over £5m to establish and grow this programme.</w:t>
      </w:r>
    </w:p>
    <w:p w:rsidR="00E718EE" w:rsidRDefault="00E718EE" w:rsidP="00E718EE">
      <w:pPr>
        <w:spacing w:line="240" w:lineRule="auto"/>
      </w:pPr>
    </w:p>
    <w:p w:rsidR="00E718EE" w:rsidRDefault="00E718EE" w:rsidP="00E718EE">
      <w:pPr>
        <w:spacing w:line="240" w:lineRule="auto"/>
      </w:pPr>
      <w:r w:rsidRPr="00E718EE">
        <w:t xml:space="preserve">Considering progress in detail, the Growth </w:t>
      </w:r>
      <w:r>
        <w:t>Hub key metrics are as follows:</w:t>
      </w:r>
    </w:p>
    <w:p w:rsidR="00E718EE" w:rsidRPr="00E718EE" w:rsidRDefault="00E718EE" w:rsidP="00E718EE">
      <w:pPr>
        <w:spacing w:line="240" w:lineRule="auto"/>
      </w:pPr>
    </w:p>
    <w:p w:rsidR="00E718EE" w:rsidRPr="00E718EE" w:rsidRDefault="00E718EE" w:rsidP="00E718EE">
      <w:pPr>
        <w:pStyle w:val="ListParagraph"/>
        <w:numPr>
          <w:ilvl w:val="0"/>
          <w:numId w:val="26"/>
        </w:numPr>
        <w:spacing w:after="0" w:line="240" w:lineRule="auto"/>
        <w:contextualSpacing w:val="0"/>
      </w:pPr>
      <w:r w:rsidRPr="00E718EE">
        <w:t>Lancashire Businesses supported to date 4</w:t>
      </w:r>
      <w:r>
        <w:t>,</w:t>
      </w:r>
      <w:r w:rsidRPr="00E718EE">
        <w:t>799 and by December 2018 we wil</w:t>
      </w:r>
      <w:r>
        <w:t>l have supported at least 5,951;</w:t>
      </w:r>
    </w:p>
    <w:p w:rsidR="00E718EE" w:rsidRPr="00E718EE" w:rsidRDefault="00E718EE" w:rsidP="00E718EE">
      <w:pPr>
        <w:pStyle w:val="ListParagraph"/>
        <w:numPr>
          <w:ilvl w:val="0"/>
          <w:numId w:val="26"/>
        </w:numPr>
        <w:spacing w:after="0" w:line="240" w:lineRule="auto"/>
        <w:contextualSpacing w:val="0"/>
      </w:pPr>
      <w:r w:rsidRPr="00E718EE">
        <w:t>New jobs created to date: 1</w:t>
      </w:r>
      <w:r>
        <w:t>,</w:t>
      </w:r>
      <w:r w:rsidRPr="00E718EE">
        <w:t xml:space="preserve">294 and by December 2018 we </w:t>
      </w:r>
      <w:r>
        <w:t>will have created at least 2,166;</w:t>
      </w:r>
    </w:p>
    <w:p w:rsidR="00E718EE" w:rsidRPr="00E718EE" w:rsidRDefault="00E718EE" w:rsidP="00E718EE">
      <w:pPr>
        <w:pStyle w:val="ListParagraph"/>
        <w:numPr>
          <w:ilvl w:val="0"/>
          <w:numId w:val="26"/>
        </w:numPr>
        <w:spacing w:after="0" w:line="240" w:lineRule="auto"/>
        <w:contextualSpacing w:val="0"/>
      </w:pPr>
      <w:r w:rsidRPr="00E718EE">
        <w:t>New Businesses created to date: 170 and by December 2018 this will rise to over 320</w:t>
      </w:r>
      <w:r>
        <w:t>;</w:t>
      </w:r>
      <w:r w:rsidRPr="00E718EE">
        <w:t xml:space="preserve"> </w:t>
      </w:r>
    </w:p>
    <w:p w:rsidR="00E718EE" w:rsidRPr="00E718EE" w:rsidRDefault="00E718EE" w:rsidP="00E718EE">
      <w:pPr>
        <w:pStyle w:val="ListParagraph"/>
        <w:numPr>
          <w:ilvl w:val="0"/>
          <w:numId w:val="26"/>
        </w:numPr>
        <w:spacing w:after="0" w:line="240" w:lineRule="auto"/>
        <w:contextualSpacing w:val="0"/>
      </w:pPr>
      <w:r w:rsidRPr="00E718EE">
        <w:t>Private sector investment  to date £883,429.43  and by December 2018 this will be at least £1,633,429.34</w:t>
      </w:r>
      <w:r>
        <w:t>;</w:t>
      </w:r>
    </w:p>
    <w:p w:rsidR="00E718EE" w:rsidRPr="00E718EE" w:rsidRDefault="00E718EE" w:rsidP="00E718EE">
      <w:pPr>
        <w:pStyle w:val="ListParagraph"/>
        <w:numPr>
          <w:ilvl w:val="0"/>
          <w:numId w:val="26"/>
        </w:numPr>
        <w:spacing w:after="0" w:line="240" w:lineRule="auto"/>
        <w:contextualSpacing w:val="0"/>
      </w:pPr>
      <w:r w:rsidRPr="00E718EE">
        <w:t>Significant investment from Lancashire County Council, providing all the match funding for this program</w:t>
      </w:r>
      <w:r>
        <w:t>me, coming in at over £3m;</w:t>
      </w:r>
    </w:p>
    <w:p w:rsidR="00E718EE" w:rsidRPr="00E718EE" w:rsidRDefault="00E718EE" w:rsidP="00E718EE">
      <w:pPr>
        <w:pStyle w:val="ListParagraph"/>
        <w:numPr>
          <w:ilvl w:val="0"/>
          <w:numId w:val="26"/>
        </w:numPr>
        <w:spacing w:after="0" w:line="240" w:lineRule="auto"/>
        <w:contextualSpacing w:val="0"/>
      </w:pPr>
      <w:r>
        <w:t>The</w:t>
      </w:r>
      <w:r w:rsidRPr="00E718EE">
        <w:t xml:space="preserve"> business support finder has over </w:t>
      </w:r>
      <w:r>
        <w:t>85 p</w:t>
      </w:r>
      <w:r w:rsidRPr="00E718EE">
        <w:t>rogrammes of support that are available to Lancashire businesses</w:t>
      </w:r>
      <w:r>
        <w:t>; and</w:t>
      </w:r>
    </w:p>
    <w:p w:rsidR="00E718EE" w:rsidRPr="00E718EE" w:rsidRDefault="00E718EE" w:rsidP="00E718EE">
      <w:pPr>
        <w:pStyle w:val="ListParagraph"/>
        <w:numPr>
          <w:ilvl w:val="0"/>
          <w:numId w:val="26"/>
        </w:numPr>
        <w:spacing w:after="0" w:line="240" w:lineRule="auto"/>
        <w:contextualSpacing w:val="0"/>
      </w:pPr>
      <w:r>
        <w:t>Over</w:t>
      </w:r>
      <w:r w:rsidRPr="00E718EE">
        <w:t xml:space="preserve"> 85 registered private sector business support providers in Lancashire </w:t>
      </w:r>
      <w:r>
        <w:t>work with Boost</w:t>
      </w:r>
      <w:r w:rsidRPr="00E718EE">
        <w:t xml:space="preserve">. </w:t>
      </w:r>
    </w:p>
    <w:p w:rsidR="00E718EE" w:rsidRPr="00E718EE" w:rsidRDefault="00E718EE" w:rsidP="00E718EE">
      <w:pPr>
        <w:spacing w:line="240" w:lineRule="auto"/>
      </w:pPr>
    </w:p>
    <w:p w:rsidR="00E718EE" w:rsidRPr="00E718EE" w:rsidRDefault="00E718EE" w:rsidP="00E718EE">
      <w:pPr>
        <w:spacing w:line="240" w:lineRule="auto"/>
        <w:ind w:left="0" w:firstLine="0"/>
      </w:pPr>
      <w:r w:rsidRPr="00E718EE">
        <w:t xml:space="preserve">In addition to its core business support function, Boost is playing a key role in promoting the ESF skills support programmes commissioned by the LEP's Skill Hub.  On the back of work to distribute flood recovery grants to business, Boost is now engaged in a national pilot with the Prince's Responsible Business Network, BITC and LCC's Emergency Planning Team to see how the Business Emergency Resilience Group (BERG) can more effectively help businesses and the community respond in the event of major events.        </w:t>
      </w:r>
    </w:p>
    <w:p w:rsidR="004828F8" w:rsidRPr="009772B6" w:rsidRDefault="004828F8">
      <w:pPr>
        <w:rPr>
          <w:b/>
        </w:rPr>
      </w:pPr>
    </w:p>
    <w:p w:rsidR="00C735F2" w:rsidRDefault="00A95C37">
      <w:pPr>
        <w:rPr>
          <w:b/>
        </w:rPr>
      </w:pPr>
      <w:r>
        <w:rPr>
          <w:b/>
        </w:rPr>
        <w:t>Growing Places Investment Fund</w:t>
      </w:r>
    </w:p>
    <w:p w:rsidR="00A95C37" w:rsidRDefault="00A95C37">
      <w:pPr>
        <w:rPr>
          <w:b/>
        </w:rPr>
      </w:pPr>
    </w:p>
    <w:p w:rsidR="00765180" w:rsidRPr="00A250E5" w:rsidRDefault="00765180" w:rsidP="00765180">
      <w:pPr>
        <w:ind w:left="0" w:firstLine="0"/>
        <w:rPr>
          <w:u w:val="single"/>
        </w:rPr>
      </w:pPr>
      <w:r w:rsidRPr="00A250E5">
        <w:rPr>
          <w:u w:val="single"/>
        </w:rPr>
        <w:t>Achievements</w:t>
      </w:r>
    </w:p>
    <w:p w:rsidR="00765180" w:rsidRDefault="00765180" w:rsidP="00765180">
      <w:pPr>
        <w:rPr>
          <w:b/>
        </w:rPr>
      </w:pPr>
    </w:p>
    <w:p w:rsidR="00765180" w:rsidRDefault="00765180" w:rsidP="00765180">
      <w:pPr>
        <w:ind w:left="0" w:firstLine="0"/>
        <w:rPr>
          <w:bCs/>
          <w:lang w:eastAsia="en-US"/>
        </w:rPr>
      </w:pPr>
      <w:r>
        <w:rPr>
          <w:bCs/>
          <w:lang w:eastAsia="en-US"/>
        </w:rPr>
        <w:t>The LEP has fully recycled its original circa £20m Growing Places Funding on a commercial basis generating circa £730,000 of interest which is supporting the LEP's strategic capacity.</w:t>
      </w:r>
    </w:p>
    <w:p w:rsidR="00765180" w:rsidRDefault="00765180" w:rsidP="00765180">
      <w:pPr>
        <w:ind w:left="0" w:firstLine="0"/>
        <w:rPr>
          <w:bCs/>
          <w:lang w:eastAsia="en-US"/>
        </w:rPr>
      </w:pPr>
    </w:p>
    <w:p w:rsidR="00765180" w:rsidRDefault="00765180" w:rsidP="00765180">
      <w:pPr>
        <w:ind w:left="0" w:firstLine="0"/>
        <w:rPr>
          <w:bCs/>
          <w:lang w:eastAsia="en-US"/>
        </w:rPr>
      </w:pPr>
      <w:r>
        <w:rPr>
          <w:bCs/>
          <w:lang w:eastAsia="en-US"/>
        </w:rPr>
        <w:t>The fund has invested in 8 schemes to date:</w:t>
      </w:r>
    </w:p>
    <w:p w:rsidR="00765180" w:rsidRDefault="00765180" w:rsidP="00765180">
      <w:pPr>
        <w:ind w:left="0" w:firstLine="0"/>
        <w:rPr>
          <w:bCs/>
          <w:lang w:eastAsia="en-US"/>
        </w:rPr>
      </w:pPr>
    </w:p>
    <w:p w:rsidR="00765180" w:rsidRPr="00A250E5" w:rsidRDefault="00765180" w:rsidP="00765180">
      <w:pPr>
        <w:pStyle w:val="ListParagraph"/>
        <w:numPr>
          <w:ilvl w:val="0"/>
          <w:numId w:val="29"/>
        </w:numPr>
        <w:spacing w:line="250" w:lineRule="auto"/>
        <w:rPr>
          <w:bCs/>
          <w:lang w:eastAsia="en-US"/>
        </w:rPr>
      </w:pPr>
      <w:r w:rsidRPr="00A250E5">
        <w:rPr>
          <w:bCs/>
          <w:lang w:eastAsia="en-US"/>
        </w:rPr>
        <w:t>Blackpool Pleasure Beach</w:t>
      </w:r>
    </w:p>
    <w:p w:rsidR="00765180" w:rsidRPr="00A250E5" w:rsidRDefault="00765180" w:rsidP="00765180">
      <w:pPr>
        <w:pStyle w:val="ListParagraph"/>
        <w:numPr>
          <w:ilvl w:val="0"/>
          <w:numId w:val="29"/>
        </w:numPr>
        <w:spacing w:line="250" w:lineRule="auto"/>
        <w:rPr>
          <w:bCs/>
          <w:lang w:eastAsia="en-US"/>
        </w:rPr>
      </w:pPr>
      <w:r w:rsidRPr="00A250E5">
        <w:rPr>
          <w:bCs/>
          <w:lang w:eastAsia="en-US"/>
        </w:rPr>
        <w:t>Burnley Bridge Business Park</w:t>
      </w:r>
    </w:p>
    <w:p w:rsidR="00765180" w:rsidRPr="00A250E5" w:rsidRDefault="00765180" w:rsidP="00765180">
      <w:pPr>
        <w:pStyle w:val="ListParagraph"/>
        <w:numPr>
          <w:ilvl w:val="0"/>
          <w:numId w:val="29"/>
        </w:numPr>
        <w:spacing w:line="250" w:lineRule="auto"/>
        <w:rPr>
          <w:bCs/>
          <w:lang w:eastAsia="en-US"/>
        </w:rPr>
      </w:pPr>
      <w:r w:rsidRPr="00A250E5">
        <w:rPr>
          <w:bCs/>
          <w:lang w:eastAsia="en-US"/>
        </w:rPr>
        <w:t>Teanlowe Centre, Poulton le Fylde</w:t>
      </w:r>
    </w:p>
    <w:p w:rsidR="00765180" w:rsidRPr="00A250E5" w:rsidRDefault="00765180" w:rsidP="00765180">
      <w:pPr>
        <w:pStyle w:val="ListParagraph"/>
        <w:numPr>
          <w:ilvl w:val="0"/>
          <w:numId w:val="29"/>
        </w:numPr>
        <w:spacing w:line="250" w:lineRule="auto"/>
        <w:rPr>
          <w:bCs/>
          <w:lang w:eastAsia="en-US"/>
        </w:rPr>
      </w:pPr>
      <w:r w:rsidRPr="00A250E5">
        <w:rPr>
          <w:bCs/>
          <w:lang w:eastAsia="en-US"/>
        </w:rPr>
        <w:t>Luneside East, Lancaster</w:t>
      </w:r>
    </w:p>
    <w:p w:rsidR="00765180" w:rsidRPr="00A250E5" w:rsidRDefault="00765180" w:rsidP="00765180">
      <w:pPr>
        <w:pStyle w:val="ListParagraph"/>
        <w:numPr>
          <w:ilvl w:val="0"/>
          <w:numId w:val="29"/>
        </w:numPr>
        <w:spacing w:line="250" w:lineRule="auto"/>
        <w:rPr>
          <w:bCs/>
          <w:lang w:eastAsia="en-US"/>
        </w:rPr>
      </w:pPr>
      <w:r w:rsidRPr="00A250E5">
        <w:rPr>
          <w:bCs/>
          <w:lang w:eastAsia="en-US"/>
        </w:rPr>
        <w:t>Blackburn Cathedral Quarter</w:t>
      </w:r>
    </w:p>
    <w:p w:rsidR="00765180" w:rsidRPr="00A250E5" w:rsidRDefault="00765180" w:rsidP="00765180">
      <w:pPr>
        <w:pStyle w:val="ListParagraph"/>
        <w:numPr>
          <w:ilvl w:val="0"/>
          <w:numId w:val="29"/>
        </w:numPr>
        <w:spacing w:line="250" w:lineRule="auto"/>
        <w:rPr>
          <w:bCs/>
          <w:lang w:eastAsia="en-US"/>
        </w:rPr>
      </w:pPr>
      <w:r w:rsidRPr="00A250E5">
        <w:rPr>
          <w:bCs/>
          <w:lang w:eastAsia="en-US"/>
        </w:rPr>
        <w:t>On The Banks, Burnley</w:t>
      </w:r>
    </w:p>
    <w:p w:rsidR="00765180" w:rsidRPr="00A250E5" w:rsidRDefault="00765180" w:rsidP="00765180">
      <w:pPr>
        <w:pStyle w:val="ListParagraph"/>
        <w:numPr>
          <w:ilvl w:val="0"/>
          <w:numId w:val="29"/>
        </w:numPr>
        <w:spacing w:line="250" w:lineRule="auto"/>
        <w:rPr>
          <w:bCs/>
          <w:lang w:eastAsia="en-US"/>
        </w:rPr>
      </w:pPr>
      <w:r w:rsidRPr="00A250E5">
        <w:rPr>
          <w:bCs/>
          <w:lang w:eastAsia="en-US"/>
        </w:rPr>
        <w:t>Innovation Drive, Burnley</w:t>
      </w:r>
    </w:p>
    <w:p w:rsidR="00765180" w:rsidRPr="00A250E5" w:rsidRDefault="00765180" w:rsidP="00765180">
      <w:pPr>
        <w:pStyle w:val="ListParagraph"/>
        <w:numPr>
          <w:ilvl w:val="0"/>
          <w:numId w:val="29"/>
        </w:numPr>
        <w:spacing w:line="250" w:lineRule="auto"/>
        <w:rPr>
          <w:bCs/>
          <w:lang w:eastAsia="en-US"/>
        </w:rPr>
      </w:pPr>
      <w:r w:rsidRPr="00A250E5">
        <w:rPr>
          <w:bCs/>
          <w:lang w:eastAsia="en-US"/>
        </w:rPr>
        <w:t>Chatsworth Gardens, Morecambe</w:t>
      </w:r>
    </w:p>
    <w:p w:rsidR="00765180" w:rsidRDefault="00765180" w:rsidP="00765180">
      <w:pPr>
        <w:rPr>
          <w:bCs/>
          <w:lang w:eastAsia="en-US"/>
        </w:rPr>
      </w:pPr>
    </w:p>
    <w:p w:rsidR="00765180" w:rsidRDefault="00765180" w:rsidP="00765180">
      <w:pPr>
        <w:ind w:left="0" w:firstLine="0"/>
        <w:rPr>
          <w:bCs/>
          <w:lang w:eastAsia="en-US"/>
        </w:rPr>
      </w:pPr>
      <w:r w:rsidRPr="00A250E5">
        <w:rPr>
          <w:bCs/>
          <w:lang w:eastAsia="en-US"/>
        </w:rPr>
        <w:t xml:space="preserve">As of the </w:t>
      </w:r>
      <w:r>
        <w:rPr>
          <w:bCs/>
          <w:lang w:eastAsia="en-US"/>
        </w:rPr>
        <w:t>22</w:t>
      </w:r>
      <w:r w:rsidRPr="00765180">
        <w:rPr>
          <w:bCs/>
          <w:vertAlign w:val="superscript"/>
          <w:lang w:eastAsia="en-US"/>
        </w:rPr>
        <w:t>nd</w:t>
      </w:r>
      <w:r>
        <w:rPr>
          <w:bCs/>
          <w:lang w:eastAsia="en-US"/>
        </w:rPr>
        <w:t xml:space="preserve"> March 2016, £17.4m has been repaid to the fund. This amount includes the part repayment of £2.6m capital from Luneside East Ltd as a result of the completion of a Sale Agreement between Luneside East Limited and Persimmon Homes for the remediated Luneside East land. </w:t>
      </w:r>
    </w:p>
    <w:p w:rsidR="00765180" w:rsidRDefault="00765180" w:rsidP="00765180">
      <w:pPr>
        <w:ind w:left="0" w:firstLine="0"/>
        <w:rPr>
          <w:bCs/>
          <w:lang w:eastAsia="en-US"/>
        </w:rPr>
      </w:pPr>
    </w:p>
    <w:p w:rsidR="00765180" w:rsidRDefault="00765180" w:rsidP="00765180">
      <w:pPr>
        <w:ind w:left="0" w:firstLine="0"/>
        <w:rPr>
          <w:bCs/>
          <w:lang w:eastAsia="en-US"/>
        </w:rPr>
      </w:pPr>
      <w:r>
        <w:rPr>
          <w:bCs/>
          <w:lang w:eastAsia="en-US"/>
        </w:rPr>
        <w:t>The 'On the Banks' scheme has recently drawn down the first funds to enable the delivery of its third phase which is the delivery of 12 starter homes apartments which has the support of the HCA. This starter home scheme is the first in the country.</w:t>
      </w:r>
    </w:p>
    <w:p w:rsidR="00765180" w:rsidRDefault="00765180" w:rsidP="00765180">
      <w:pPr>
        <w:ind w:left="0" w:firstLine="0"/>
        <w:rPr>
          <w:bCs/>
          <w:lang w:eastAsia="en-US"/>
        </w:rPr>
      </w:pPr>
    </w:p>
    <w:p w:rsidR="00765180" w:rsidRDefault="00765180" w:rsidP="00765180">
      <w:pPr>
        <w:ind w:left="0" w:firstLine="0"/>
        <w:rPr>
          <w:bCs/>
          <w:lang w:eastAsia="en-US"/>
        </w:rPr>
      </w:pPr>
      <w:r>
        <w:rPr>
          <w:bCs/>
          <w:lang w:eastAsia="en-US"/>
        </w:rPr>
        <w:t>It should also be noted that £2.1m has been allocated towards Guild Hall Street, Preston. This scheme is currently being progressed through legal and financial due diligence.</w:t>
      </w:r>
    </w:p>
    <w:p w:rsidR="00765180" w:rsidRDefault="00765180" w:rsidP="00765180">
      <w:pPr>
        <w:ind w:left="0" w:firstLine="0"/>
        <w:rPr>
          <w:bCs/>
          <w:lang w:eastAsia="en-US"/>
        </w:rPr>
      </w:pPr>
    </w:p>
    <w:p w:rsidR="00765180" w:rsidRPr="00A250E5" w:rsidRDefault="00765180" w:rsidP="00765180">
      <w:pPr>
        <w:rPr>
          <w:bCs/>
          <w:u w:val="single"/>
          <w:lang w:eastAsia="en-US"/>
        </w:rPr>
      </w:pPr>
      <w:r w:rsidRPr="00A250E5">
        <w:rPr>
          <w:bCs/>
          <w:u w:val="single"/>
          <w:lang w:eastAsia="en-US"/>
        </w:rPr>
        <w:t xml:space="preserve">Key Performance Indicators Achieved </w:t>
      </w:r>
    </w:p>
    <w:p w:rsidR="00765180" w:rsidRPr="00A250E5" w:rsidRDefault="00765180" w:rsidP="00765180">
      <w:pPr>
        <w:rPr>
          <w:bCs/>
          <w:u w:val="single"/>
          <w:lang w:eastAsia="en-US"/>
        </w:rPr>
      </w:pPr>
    </w:p>
    <w:p w:rsidR="00765180" w:rsidRDefault="00765180" w:rsidP="00765180">
      <w:pPr>
        <w:ind w:left="0" w:firstLine="0"/>
        <w:rPr>
          <w:bCs/>
          <w:lang w:eastAsia="en-US"/>
        </w:rPr>
      </w:pPr>
      <w:r>
        <w:rPr>
          <w:bCs/>
          <w:lang w:eastAsia="en-US"/>
        </w:rPr>
        <w:t>Through its commercial investment, the Growing Places Investment Fund has created:</w:t>
      </w:r>
    </w:p>
    <w:p w:rsidR="00765180" w:rsidRDefault="00765180" w:rsidP="00765180">
      <w:pPr>
        <w:pStyle w:val="ListParagraph"/>
        <w:ind w:firstLine="0"/>
        <w:rPr>
          <w:bCs/>
          <w:lang w:eastAsia="en-US"/>
        </w:rPr>
      </w:pPr>
    </w:p>
    <w:p w:rsidR="00765180" w:rsidRDefault="00765180" w:rsidP="00765180">
      <w:pPr>
        <w:pStyle w:val="ListParagraph"/>
        <w:numPr>
          <w:ilvl w:val="0"/>
          <w:numId w:val="28"/>
        </w:numPr>
        <w:rPr>
          <w:bCs/>
          <w:lang w:eastAsia="en-US"/>
        </w:rPr>
      </w:pPr>
      <w:r>
        <w:rPr>
          <w:bCs/>
          <w:lang w:eastAsia="en-US"/>
        </w:rPr>
        <w:t xml:space="preserve">Almost </w:t>
      </w:r>
      <w:r w:rsidRPr="00A250E5">
        <w:rPr>
          <w:bCs/>
          <w:lang w:eastAsia="en-US"/>
        </w:rPr>
        <w:t>3,</w:t>
      </w:r>
      <w:r>
        <w:rPr>
          <w:bCs/>
          <w:lang w:eastAsia="en-US"/>
        </w:rPr>
        <w:t>5</w:t>
      </w:r>
      <w:r w:rsidRPr="00A250E5">
        <w:rPr>
          <w:bCs/>
          <w:lang w:eastAsia="en-US"/>
        </w:rPr>
        <w:t>00 new jobs</w:t>
      </w:r>
      <w:r>
        <w:rPr>
          <w:bCs/>
          <w:lang w:eastAsia="en-US"/>
        </w:rPr>
        <w:t>;</w:t>
      </w:r>
    </w:p>
    <w:p w:rsidR="00765180" w:rsidRDefault="00765180" w:rsidP="00765180">
      <w:pPr>
        <w:pStyle w:val="ListParagraph"/>
        <w:numPr>
          <w:ilvl w:val="0"/>
          <w:numId w:val="28"/>
        </w:numPr>
        <w:rPr>
          <w:bCs/>
          <w:lang w:eastAsia="en-US"/>
        </w:rPr>
      </w:pPr>
      <w:r>
        <w:rPr>
          <w:bCs/>
          <w:lang w:eastAsia="en-US"/>
        </w:rPr>
        <w:t>200 housing units;</w:t>
      </w:r>
    </w:p>
    <w:p w:rsidR="00765180" w:rsidRDefault="00765180" w:rsidP="00765180">
      <w:pPr>
        <w:pStyle w:val="ListParagraph"/>
        <w:numPr>
          <w:ilvl w:val="0"/>
          <w:numId w:val="28"/>
        </w:numPr>
        <w:rPr>
          <w:bCs/>
          <w:lang w:eastAsia="en-US"/>
        </w:rPr>
      </w:pPr>
      <w:r>
        <w:rPr>
          <w:bCs/>
          <w:lang w:eastAsia="en-US"/>
        </w:rPr>
        <w:t xml:space="preserve">Nearly </w:t>
      </w:r>
      <w:r w:rsidRPr="00A250E5">
        <w:rPr>
          <w:bCs/>
          <w:lang w:eastAsia="en-US"/>
        </w:rPr>
        <w:t>500,000 ft</w:t>
      </w:r>
      <w:r w:rsidRPr="00A250E5">
        <w:rPr>
          <w:bCs/>
          <w:vertAlign w:val="superscript"/>
          <w:lang w:eastAsia="en-US"/>
        </w:rPr>
        <w:t>2</w:t>
      </w:r>
      <w:r w:rsidRPr="00A250E5">
        <w:rPr>
          <w:bCs/>
          <w:lang w:eastAsia="en-US"/>
        </w:rPr>
        <w:t xml:space="preserve"> of commercial floorspace</w:t>
      </w:r>
      <w:r>
        <w:rPr>
          <w:bCs/>
          <w:lang w:eastAsia="en-US"/>
        </w:rPr>
        <w:t>;</w:t>
      </w:r>
      <w:r w:rsidRPr="00A250E5">
        <w:rPr>
          <w:bCs/>
          <w:lang w:eastAsia="en-US"/>
        </w:rPr>
        <w:t xml:space="preserve"> and</w:t>
      </w:r>
    </w:p>
    <w:p w:rsidR="00765180" w:rsidRPr="00A250E5" w:rsidRDefault="00765180" w:rsidP="00765180">
      <w:pPr>
        <w:pStyle w:val="ListParagraph"/>
        <w:numPr>
          <w:ilvl w:val="0"/>
          <w:numId w:val="28"/>
        </w:numPr>
        <w:rPr>
          <w:bCs/>
          <w:lang w:eastAsia="en-US"/>
        </w:rPr>
      </w:pPr>
      <w:r>
        <w:rPr>
          <w:bCs/>
          <w:lang w:eastAsia="en-US"/>
        </w:rPr>
        <w:t>Leveraged</w:t>
      </w:r>
      <w:r w:rsidRPr="00A250E5">
        <w:rPr>
          <w:bCs/>
          <w:lang w:eastAsia="en-US"/>
        </w:rPr>
        <w:t xml:space="preserve"> £100m of private and public investment.</w:t>
      </w:r>
    </w:p>
    <w:p w:rsidR="00765180" w:rsidRDefault="00765180" w:rsidP="00765180">
      <w:pPr>
        <w:rPr>
          <w:bCs/>
          <w:lang w:eastAsia="en-US"/>
        </w:rPr>
      </w:pPr>
    </w:p>
    <w:p w:rsidR="00765180" w:rsidRPr="00A250E5" w:rsidRDefault="00765180" w:rsidP="00765180">
      <w:pPr>
        <w:rPr>
          <w:bCs/>
          <w:u w:val="single"/>
          <w:lang w:eastAsia="en-US"/>
        </w:rPr>
      </w:pPr>
      <w:r w:rsidRPr="00A250E5">
        <w:rPr>
          <w:bCs/>
          <w:u w:val="single"/>
          <w:lang w:eastAsia="en-US"/>
        </w:rPr>
        <w:t>Current Challenges</w:t>
      </w:r>
    </w:p>
    <w:p w:rsidR="00765180" w:rsidRDefault="00765180" w:rsidP="00765180">
      <w:pPr>
        <w:rPr>
          <w:bCs/>
          <w:lang w:eastAsia="en-US"/>
        </w:rPr>
      </w:pPr>
    </w:p>
    <w:p w:rsidR="00765180" w:rsidRDefault="00765180" w:rsidP="00765180">
      <w:pPr>
        <w:pStyle w:val="ListParagraph"/>
        <w:numPr>
          <w:ilvl w:val="0"/>
          <w:numId w:val="27"/>
        </w:numPr>
        <w:rPr>
          <w:bCs/>
          <w:lang w:eastAsia="en-US"/>
        </w:rPr>
      </w:pPr>
      <w:r>
        <w:rPr>
          <w:bCs/>
          <w:lang w:eastAsia="en-US"/>
        </w:rPr>
        <w:t>Ensuring a healthy strategic development pipeline.</w:t>
      </w:r>
    </w:p>
    <w:p w:rsidR="00765180" w:rsidRDefault="00765180" w:rsidP="00765180">
      <w:pPr>
        <w:pStyle w:val="ListParagraph"/>
        <w:numPr>
          <w:ilvl w:val="0"/>
          <w:numId w:val="27"/>
        </w:numPr>
        <w:rPr>
          <w:bCs/>
          <w:lang w:eastAsia="en-US"/>
        </w:rPr>
      </w:pPr>
      <w:r>
        <w:rPr>
          <w:bCs/>
          <w:lang w:eastAsia="en-US"/>
        </w:rPr>
        <w:t>Ensuring investments repay.</w:t>
      </w:r>
    </w:p>
    <w:p w:rsidR="00765180" w:rsidRPr="00A250E5" w:rsidRDefault="00765180" w:rsidP="00765180">
      <w:pPr>
        <w:pStyle w:val="ListParagraph"/>
        <w:numPr>
          <w:ilvl w:val="0"/>
          <w:numId w:val="27"/>
        </w:numPr>
        <w:rPr>
          <w:color w:val="auto"/>
        </w:rPr>
      </w:pPr>
      <w:r w:rsidRPr="00923ACD">
        <w:rPr>
          <w:bCs/>
          <w:lang w:eastAsia="en-US"/>
        </w:rPr>
        <w:lastRenderedPageBreak/>
        <w:t>Establishing a 'Fund of Funds' approach in light of ESIF issues following the EU Referendum.</w:t>
      </w:r>
    </w:p>
    <w:p w:rsidR="00A95C37" w:rsidRPr="009772B6" w:rsidRDefault="00A95C37">
      <w:pPr>
        <w:rPr>
          <w:b/>
        </w:rPr>
      </w:pPr>
    </w:p>
    <w:sectPr w:rsidR="00A95C37" w:rsidRPr="009772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F2" w:rsidRDefault="00C735F2">
      <w:pPr>
        <w:spacing w:after="0" w:line="240" w:lineRule="auto"/>
      </w:pPr>
      <w:r>
        <w:separator/>
      </w:r>
    </w:p>
  </w:endnote>
  <w:endnote w:type="continuationSeparator" w:id="0">
    <w:p w:rsidR="00C735F2" w:rsidRDefault="00C7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F2" w:rsidRDefault="00C735F2">
      <w:pPr>
        <w:spacing w:after="0" w:line="240" w:lineRule="auto"/>
      </w:pPr>
      <w:r>
        <w:separator/>
      </w:r>
    </w:p>
  </w:footnote>
  <w:footnote w:type="continuationSeparator" w:id="0">
    <w:p w:rsidR="00C735F2" w:rsidRDefault="00C7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F2" w:rsidRDefault="00C735F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F0DEB67"/>
    <w:lvl w:ilvl="0" w:tplc="98EC3946">
      <w:start w:val="1"/>
      <w:numFmt w:val="bullet"/>
      <w:lvlText w:val="·"/>
      <w:lvlJc w:val="left"/>
      <w:pPr>
        <w:ind w:left="720" w:hanging="360"/>
      </w:pPr>
      <w:rPr>
        <w:rFonts w:ascii="Symbol" w:eastAsia="Symbol" w:hAnsi="Symbol"/>
        <w:w w:val="100"/>
        <w:sz w:val="20"/>
        <w:szCs w:val="20"/>
        <w:shd w:val="clear" w:color="auto" w:fill="auto"/>
      </w:rPr>
    </w:lvl>
    <w:lvl w:ilvl="1" w:tplc="A9BC3CAA">
      <w:start w:val="1"/>
      <w:numFmt w:val="bullet"/>
      <w:lvlText w:val="o"/>
      <w:lvlJc w:val="left"/>
      <w:pPr>
        <w:ind w:left="1440" w:hanging="360"/>
      </w:pPr>
      <w:rPr>
        <w:rFonts w:ascii="Courier New" w:eastAsia="Courier New" w:hAnsi="Courier New"/>
        <w:w w:val="100"/>
        <w:sz w:val="20"/>
        <w:szCs w:val="20"/>
        <w:shd w:val="clear" w:color="auto" w:fill="auto"/>
      </w:rPr>
    </w:lvl>
    <w:lvl w:ilvl="2" w:tplc="CDC81766">
      <w:start w:val="1"/>
      <w:numFmt w:val="bullet"/>
      <w:lvlText w:val="§"/>
      <w:lvlJc w:val="left"/>
      <w:pPr>
        <w:ind w:left="2160" w:hanging="360"/>
      </w:pPr>
      <w:rPr>
        <w:rFonts w:ascii="Wingdings" w:eastAsia="Wingdings" w:hAnsi="Wingdings"/>
        <w:w w:val="100"/>
        <w:sz w:val="20"/>
        <w:szCs w:val="20"/>
        <w:shd w:val="clear" w:color="auto" w:fill="auto"/>
      </w:rPr>
    </w:lvl>
    <w:lvl w:ilvl="3" w:tplc="F2484802">
      <w:start w:val="1"/>
      <w:numFmt w:val="bullet"/>
      <w:lvlText w:val="·"/>
      <w:lvlJc w:val="left"/>
      <w:pPr>
        <w:ind w:left="2880" w:hanging="360"/>
      </w:pPr>
      <w:rPr>
        <w:rFonts w:ascii="Symbol" w:eastAsia="Symbol" w:hAnsi="Symbol"/>
        <w:w w:val="100"/>
        <w:sz w:val="20"/>
        <w:szCs w:val="20"/>
        <w:shd w:val="clear" w:color="auto" w:fill="auto"/>
      </w:rPr>
    </w:lvl>
    <w:lvl w:ilvl="4" w:tplc="C8004890">
      <w:start w:val="1"/>
      <w:numFmt w:val="bullet"/>
      <w:lvlText w:val="o"/>
      <w:lvlJc w:val="left"/>
      <w:pPr>
        <w:ind w:left="3600" w:hanging="360"/>
      </w:pPr>
      <w:rPr>
        <w:rFonts w:ascii="Courier New" w:eastAsia="Courier New" w:hAnsi="Courier New"/>
        <w:w w:val="100"/>
        <w:sz w:val="20"/>
        <w:szCs w:val="20"/>
        <w:shd w:val="clear" w:color="auto" w:fill="auto"/>
      </w:rPr>
    </w:lvl>
    <w:lvl w:ilvl="5" w:tplc="33BAF362">
      <w:start w:val="1"/>
      <w:numFmt w:val="bullet"/>
      <w:lvlText w:val="§"/>
      <w:lvlJc w:val="left"/>
      <w:pPr>
        <w:ind w:left="4320" w:hanging="360"/>
      </w:pPr>
      <w:rPr>
        <w:rFonts w:ascii="Wingdings" w:eastAsia="Wingdings" w:hAnsi="Wingdings"/>
        <w:w w:val="100"/>
        <w:sz w:val="20"/>
        <w:szCs w:val="20"/>
        <w:shd w:val="clear" w:color="auto" w:fill="auto"/>
      </w:rPr>
    </w:lvl>
    <w:lvl w:ilvl="6" w:tplc="A6C8C34C">
      <w:start w:val="1"/>
      <w:numFmt w:val="bullet"/>
      <w:lvlText w:val="·"/>
      <w:lvlJc w:val="left"/>
      <w:pPr>
        <w:ind w:left="5040" w:hanging="360"/>
      </w:pPr>
      <w:rPr>
        <w:rFonts w:ascii="Symbol" w:eastAsia="Symbol" w:hAnsi="Symbol"/>
        <w:w w:val="100"/>
        <w:sz w:val="20"/>
        <w:szCs w:val="20"/>
        <w:shd w:val="clear" w:color="auto" w:fill="auto"/>
      </w:rPr>
    </w:lvl>
    <w:lvl w:ilvl="7" w:tplc="ED404A0C">
      <w:start w:val="1"/>
      <w:numFmt w:val="bullet"/>
      <w:lvlText w:val="o"/>
      <w:lvlJc w:val="left"/>
      <w:pPr>
        <w:ind w:left="5760" w:hanging="360"/>
      </w:pPr>
      <w:rPr>
        <w:rFonts w:ascii="Courier New" w:eastAsia="Courier New" w:hAnsi="Courier New"/>
        <w:w w:val="100"/>
        <w:sz w:val="20"/>
        <w:szCs w:val="20"/>
        <w:shd w:val="clear" w:color="auto" w:fill="auto"/>
      </w:rPr>
    </w:lvl>
    <w:lvl w:ilvl="8" w:tplc="03704E9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6"/>
    <w:multiLevelType w:val="hybridMultilevel"/>
    <w:tmpl w:val="37808ABA"/>
    <w:lvl w:ilvl="0" w:tplc="A72A9046">
      <w:start w:val="1"/>
      <w:numFmt w:val="bullet"/>
      <w:lvlText w:val="·"/>
      <w:lvlJc w:val="left"/>
      <w:pPr>
        <w:ind w:left="780" w:hanging="360"/>
      </w:pPr>
      <w:rPr>
        <w:rFonts w:ascii="Symbol" w:eastAsia="Symbol" w:hAnsi="Symbol"/>
        <w:w w:val="100"/>
        <w:sz w:val="20"/>
        <w:szCs w:val="20"/>
        <w:shd w:val="clear" w:color="auto" w:fill="auto"/>
      </w:rPr>
    </w:lvl>
    <w:lvl w:ilvl="1" w:tplc="6E703DF6">
      <w:start w:val="1"/>
      <w:numFmt w:val="bullet"/>
      <w:lvlText w:val="o"/>
      <w:lvlJc w:val="left"/>
      <w:pPr>
        <w:ind w:left="1500" w:hanging="360"/>
      </w:pPr>
      <w:rPr>
        <w:rFonts w:ascii="Courier New" w:eastAsia="Courier New" w:hAnsi="Courier New"/>
        <w:w w:val="100"/>
        <w:sz w:val="20"/>
        <w:szCs w:val="20"/>
        <w:shd w:val="clear" w:color="auto" w:fill="auto"/>
      </w:rPr>
    </w:lvl>
    <w:lvl w:ilvl="2" w:tplc="68563DB2">
      <w:start w:val="1"/>
      <w:numFmt w:val="bullet"/>
      <w:lvlText w:val="§"/>
      <w:lvlJc w:val="left"/>
      <w:pPr>
        <w:ind w:left="2220" w:hanging="360"/>
      </w:pPr>
      <w:rPr>
        <w:rFonts w:ascii="Wingdings" w:eastAsia="Wingdings" w:hAnsi="Wingdings"/>
        <w:w w:val="100"/>
        <w:sz w:val="20"/>
        <w:szCs w:val="20"/>
        <w:shd w:val="clear" w:color="auto" w:fill="auto"/>
      </w:rPr>
    </w:lvl>
    <w:lvl w:ilvl="3" w:tplc="5462B58A">
      <w:start w:val="1"/>
      <w:numFmt w:val="bullet"/>
      <w:lvlText w:val="·"/>
      <w:lvlJc w:val="left"/>
      <w:pPr>
        <w:ind w:left="2940" w:hanging="360"/>
      </w:pPr>
      <w:rPr>
        <w:rFonts w:ascii="Symbol" w:eastAsia="Symbol" w:hAnsi="Symbol"/>
        <w:w w:val="100"/>
        <w:sz w:val="20"/>
        <w:szCs w:val="20"/>
        <w:shd w:val="clear" w:color="auto" w:fill="auto"/>
      </w:rPr>
    </w:lvl>
    <w:lvl w:ilvl="4" w:tplc="110C653C">
      <w:start w:val="1"/>
      <w:numFmt w:val="bullet"/>
      <w:lvlText w:val="o"/>
      <w:lvlJc w:val="left"/>
      <w:pPr>
        <w:ind w:left="3660" w:hanging="360"/>
      </w:pPr>
      <w:rPr>
        <w:rFonts w:ascii="Courier New" w:eastAsia="Courier New" w:hAnsi="Courier New"/>
        <w:w w:val="100"/>
        <w:sz w:val="20"/>
        <w:szCs w:val="20"/>
        <w:shd w:val="clear" w:color="auto" w:fill="auto"/>
      </w:rPr>
    </w:lvl>
    <w:lvl w:ilvl="5" w:tplc="34E6A7B4">
      <w:start w:val="1"/>
      <w:numFmt w:val="bullet"/>
      <w:lvlText w:val="§"/>
      <w:lvlJc w:val="left"/>
      <w:pPr>
        <w:ind w:left="4380" w:hanging="360"/>
      </w:pPr>
      <w:rPr>
        <w:rFonts w:ascii="Wingdings" w:eastAsia="Wingdings" w:hAnsi="Wingdings"/>
        <w:w w:val="100"/>
        <w:sz w:val="20"/>
        <w:szCs w:val="20"/>
        <w:shd w:val="clear" w:color="auto" w:fill="auto"/>
      </w:rPr>
    </w:lvl>
    <w:lvl w:ilvl="6" w:tplc="2B081E6E">
      <w:start w:val="1"/>
      <w:numFmt w:val="bullet"/>
      <w:lvlText w:val="·"/>
      <w:lvlJc w:val="left"/>
      <w:pPr>
        <w:ind w:left="5100" w:hanging="360"/>
      </w:pPr>
      <w:rPr>
        <w:rFonts w:ascii="Symbol" w:eastAsia="Symbol" w:hAnsi="Symbol"/>
        <w:w w:val="100"/>
        <w:sz w:val="20"/>
        <w:szCs w:val="20"/>
        <w:shd w:val="clear" w:color="auto" w:fill="auto"/>
      </w:rPr>
    </w:lvl>
    <w:lvl w:ilvl="7" w:tplc="CD946722">
      <w:start w:val="1"/>
      <w:numFmt w:val="bullet"/>
      <w:lvlText w:val="o"/>
      <w:lvlJc w:val="left"/>
      <w:pPr>
        <w:ind w:left="5820" w:hanging="360"/>
      </w:pPr>
      <w:rPr>
        <w:rFonts w:ascii="Courier New" w:eastAsia="Courier New" w:hAnsi="Courier New"/>
        <w:w w:val="100"/>
        <w:sz w:val="20"/>
        <w:szCs w:val="20"/>
        <w:shd w:val="clear" w:color="auto" w:fill="auto"/>
      </w:rPr>
    </w:lvl>
    <w:lvl w:ilvl="8" w:tplc="0ABC4714">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2" w15:restartNumberingAfterBreak="0">
    <w:nsid w:val="00000007"/>
    <w:multiLevelType w:val="hybridMultilevel"/>
    <w:tmpl w:val="5813D5CD"/>
    <w:lvl w:ilvl="0" w:tplc="D6D2AD82">
      <w:start w:val="1"/>
      <w:numFmt w:val="bullet"/>
      <w:lvlText w:val="·"/>
      <w:lvlJc w:val="left"/>
      <w:pPr>
        <w:ind w:left="720" w:hanging="360"/>
      </w:pPr>
      <w:rPr>
        <w:rFonts w:ascii="Symbol" w:eastAsia="Symbol" w:hAnsi="Symbol"/>
        <w:w w:val="100"/>
        <w:sz w:val="20"/>
        <w:szCs w:val="20"/>
        <w:shd w:val="clear" w:color="auto" w:fill="auto"/>
      </w:rPr>
    </w:lvl>
    <w:lvl w:ilvl="1" w:tplc="06FA0BE0">
      <w:start w:val="1"/>
      <w:numFmt w:val="bullet"/>
      <w:lvlText w:val="o"/>
      <w:lvlJc w:val="left"/>
      <w:pPr>
        <w:ind w:left="1440" w:hanging="360"/>
      </w:pPr>
      <w:rPr>
        <w:rFonts w:ascii="Courier New" w:eastAsia="Courier New" w:hAnsi="Courier New"/>
        <w:w w:val="100"/>
        <w:sz w:val="20"/>
        <w:szCs w:val="20"/>
        <w:shd w:val="clear" w:color="auto" w:fill="auto"/>
      </w:rPr>
    </w:lvl>
    <w:lvl w:ilvl="2" w:tplc="00807F22">
      <w:start w:val="1"/>
      <w:numFmt w:val="bullet"/>
      <w:lvlText w:val="§"/>
      <w:lvlJc w:val="left"/>
      <w:pPr>
        <w:ind w:left="2160" w:hanging="360"/>
      </w:pPr>
      <w:rPr>
        <w:rFonts w:ascii="Wingdings" w:eastAsia="Wingdings" w:hAnsi="Wingdings"/>
        <w:w w:val="100"/>
        <w:sz w:val="20"/>
        <w:szCs w:val="20"/>
        <w:shd w:val="clear" w:color="auto" w:fill="auto"/>
      </w:rPr>
    </w:lvl>
    <w:lvl w:ilvl="3" w:tplc="D5141DE4">
      <w:start w:val="1"/>
      <w:numFmt w:val="bullet"/>
      <w:lvlText w:val="·"/>
      <w:lvlJc w:val="left"/>
      <w:pPr>
        <w:ind w:left="2880" w:hanging="360"/>
      </w:pPr>
      <w:rPr>
        <w:rFonts w:ascii="Symbol" w:eastAsia="Symbol" w:hAnsi="Symbol"/>
        <w:w w:val="100"/>
        <w:sz w:val="20"/>
        <w:szCs w:val="20"/>
        <w:shd w:val="clear" w:color="auto" w:fill="auto"/>
      </w:rPr>
    </w:lvl>
    <w:lvl w:ilvl="4" w:tplc="21CA8342">
      <w:start w:val="1"/>
      <w:numFmt w:val="bullet"/>
      <w:lvlText w:val="o"/>
      <w:lvlJc w:val="left"/>
      <w:pPr>
        <w:ind w:left="3600" w:hanging="360"/>
      </w:pPr>
      <w:rPr>
        <w:rFonts w:ascii="Courier New" w:eastAsia="Courier New" w:hAnsi="Courier New"/>
        <w:w w:val="100"/>
        <w:sz w:val="20"/>
        <w:szCs w:val="20"/>
        <w:shd w:val="clear" w:color="auto" w:fill="auto"/>
      </w:rPr>
    </w:lvl>
    <w:lvl w:ilvl="5" w:tplc="1146146A">
      <w:start w:val="1"/>
      <w:numFmt w:val="bullet"/>
      <w:lvlText w:val="§"/>
      <w:lvlJc w:val="left"/>
      <w:pPr>
        <w:ind w:left="4320" w:hanging="360"/>
      </w:pPr>
      <w:rPr>
        <w:rFonts w:ascii="Wingdings" w:eastAsia="Wingdings" w:hAnsi="Wingdings"/>
        <w:w w:val="100"/>
        <w:sz w:val="20"/>
        <w:szCs w:val="20"/>
        <w:shd w:val="clear" w:color="auto" w:fill="auto"/>
      </w:rPr>
    </w:lvl>
    <w:lvl w:ilvl="6" w:tplc="9752ADE8">
      <w:start w:val="1"/>
      <w:numFmt w:val="bullet"/>
      <w:lvlText w:val="·"/>
      <w:lvlJc w:val="left"/>
      <w:pPr>
        <w:ind w:left="5040" w:hanging="360"/>
      </w:pPr>
      <w:rPr>
        <w:rFonts w:ascii="Symbol" w:eastAsia="Symbol" w:hAnsi="Symbol"/>
        <w:w w:val="100"/>
        <w:sz w:val="20"/>
        <w:szCs w:val="20"/>
        <w:shd w:val="clear" w:color="auto" w:fill="auto"/>
      </w:rPr>
    </w:lvl>
    <w:lvl w:ilvl="7" w:tplc="2AE05D5A">
      <w:start w:val="1"/>
      <w:numFmt w:val="bullet"/>
      <w:lvlText w:val="o"/>
      <w:lvlJc w:val="left"/>
      <w:pPr>
        <w:ind w:left="5760" w:hanging="360"/>
      </w:pPr>
      <w:rPr>
        <w:rFonts w:ascii="Courier New" w:eastAsia="Courier New" w:hAnsi="Courier New"/>
        <w:w w:val="100"/>
        <w:sz w:val="20"/>
        <w:szCs w:val="20"/>
        <w:shd w:val="clear" w:color="auto" w:fill="auto"/>
      </w:rPr>
    </w:lvl>
    <w:lvl w:ilvl="8" w:tplc="DFDCB38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8"/>
    <w:multiLevelType w:val="hybridMultilevel"/>
    <w:tmpl w:val="7E39B2E7"/>
    <w:lvl w:ilvl="0" w:tplc="1B34DC6A">
      <w:start w:val="1"/>
      <w:numFmt w:val="bullet"/>
      <w:lvlText w:val="·"/>
      <w:lvlJc w:val="left"/>
      <w:pPr>
        <w:ind w:left="720" w:hanging="360"/>
      </w:pPr>
      <w:rPr>
        <w:rFonts w:ascii="Symbol" w:eastAsia="Symbol" w:hAnsi="Symbol"/>
        <w:w w:val="100"/>
        <w:sz w:val="20"/>
        <w:szCs w:val="20"/>
        <w:shd w:val="clear" w:color="auto" w:fill="auto"/>
      </w:rPr>
    </w:lvl>
    <w:lvl w:ilvl="1" w:tplc="7180A7BC">
      <w:start w:val="1"/>
      <w:numFmt w:val="bullet"/>
      <w:lvlText w:val="o"/>
      <w:lvlJc w:val="left"/>
      <w:pPr>
        <w:ind w:left="1440" w:hanging="360"/>
      </w:pPr>
      <w:rPr>
        <w:rFonts w:ascii="Courier New" w:eastAsia="Courier New" w:hAnsi="Courier New"/>
        <w:w w:val="100"/>
        <w:sz w:val="20"/>
        <w:szCs w:val="20"/>
        <w:shd w:val="clear" w:color="auto" w:fill="auto"/>
      </w:rPr>
    </w:lvl>
    <w:lvl w:ilvl="2" w:tplc="7E5E6A78">
      <w:start w:val="1"/>
      <w:numFmt w:val="bullet"/>
      <w:lvlText w:val="§"/>
      <w:lvlJc w:val="left"/>
      <w:pPr>
        <w:ind w:left="2160" w:hanging="360"/>
      </w:pPr>
      <w:rPr>
        <w:rFonts w:ascii="Wingdings" w:eastAsia="Wingdings" w:hAnsi="Wingdings"/>
        <w:w w:val="100"/>
        <w:sz w:val="20"/>
        <w:szCs w:val="20"/>
        <w:shd w:val="clear" w:color="auto" w:fill="auto"/>
      </w:rPr>
    </w:lvl>
    <w:lvl w:ilvl="3" w:tplc="F5BE1E70">
      <w:start w:val="1"/>
      <w:numFmt w:val="bullet"/>
      <w:lvlText w:val="·"/>
      <w:lvlJc w:val="left"/>
      <w:pPr>
        <w:ind w:left="2880" w:hanging="360"/>
      </w:pPr>
      <w:rPr>
        <w:rFonts w:ascii="Symbol" w:eastAsia="Symbol" w:hAnsi="Symbol"/>
        <w:w w:val="100"/>
        <w:sz w:val="20"/>
        <w:szCs w:val="20"/>
        <w:shd w:val="clear" w:color="auto" w:fill="auto"/>
      </w:rPr>
    </w:lvl>
    <w:lvl w:ilvl="4" w:tplc="06B00128">
      <w:start w:val="1"/>
      <w:numFmt w:val="bullet"/>
      <w:lvlText w:val="o"/>
      <w:lvlJc w:val="left"/>
      <w:pPr>
        <w:ind w:left="3600" w:hanging="360"/>
      </w:pPr>
      <w:rPr>
        <w:rFonts w:ascii="Courier New" w:eastAsia="Courier New" w:hAnsi="Courier New"/>
        <w:w w:val="100"/>
        <w:sz w:val="20"/>
        <w:szCs w:val="20"/>
        <w:shd w:val="clear" w:color="auto" w:fill="auto"/>
      </w:rPr>
    </w:lvl>
    <w:lvl w:ilvl="5" w:tplc="C30E7F88">
      <w:start w:val="1"/>
      <w:numFmt w:val="bullet"/>
      <w:lvlText w:val="§"/>
      <w:lvlJc w:val="left"/>
      <w:pPr>
        <w:ind w:left="4320" w:hanging="360"/>
      </w:pPr>
      <w:rPr>
        <w:rFonts w:ascii="Wingdings" w:eastAsia="Wingdings" w:hAnsi="Wingdings"/>
        <w:w w:val="100"/>
        <w:sz w:val="20"/>
        <w:szCs w:val="20"/>
        <w:shd w:val="clear" w:color="auto" w:fill="auto"/>
      </w:rPr>
    </w:lvl>
    <w:lvl w:ilvl="6" w:tplc="17128DE4">
      <w:start w:val="1"/>
      <w:numFmt w:val="bullet"/>
      <w:lvlText w:val="·"/>
      <w:lvlJc w:val="left"/>
      <w:pPr>
        <w:ind w:left="5040" w:hanging="360"/>
      </w:pPr>
      <w:rPr>
        <w:rFonts w:ascii="Symbol" w:eastAsia="Symbol" w:hAnsi="Symbol"/>
        <w:w w:val="100"/>
        <w:sz w:val="20"/>
        <w:szCs w:val="20"/>
        <w:shd w:val="clear" w:color="auto" w:fill="auto"/>
      </w:rPr>
    </w:lvl>
    <w:lvl w:ilvl="7" w:tplc="F7E6E66C">
      <w:start w:val="1"/>
      <w:numFmt w:val="bullet"/>
      <w:lvlText w:val="o"/>
      <w:lvlJc w:val="left"/>
      <w:pPr>
        <w:ind w:left="5760" w:hanging="360"/>
      </w:pPr>
      <w:rPr>
        <w:rFonts w:ascii="Courier New" w:eastAsia="Courier New" w:hAnsi="Courier New"/>
        <w:w w:val="100"/>
        <w:sz w:val="20"/>
        <w:szCs w:val="20"/>
        <w:shd w:val="clear" w:color="auto" w:fill="auto"/>
      </w:rPr>
    </w:lvl>
    <w:lvl w:ilvl="8" w:tplc="4A90C5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15:restartNumberingAfterBreak="0">
    <w:nsid w:val="00000009"/>
    <w:multiLevelType w:val="hybridMultilevel"/>
    <w:tmpl w:val="7E109C6E"/>
    <w:lvl w:ilvl="0" w:tplc="20DAAEB4">
      <w:start w:val="1"/>
      <w:numFmt w:val="bullet"/>
      <w:lvlText w:val="·"/>
      <w:lvlJc w:val="left"/>
      <w:pPr>
        <w:ind w:left="720" w:hanging="360"/>
      </w:pPr>
      <w:rPr>
        <w:rFonts w:ascii="Symbol" w:eastAsia="Symbol" w:hAnsi="Symbol"/>
        <w:w w:val="100"/>
        <w:sz w:val="20"/>
        <w:szCs w:val="20"/>
        <w:shd w:val="clear" w:color="auto" w:fill="auto"/>
      </w:rPr>
    </w:lvl>
    <w:lvl w:ilvl="1" w:tplc="9E22EC5C">
      <w:start w:val="1"/>
      <w:numFmt w:val="bullet"/>
      <w:lvlText w:val="o"/>
      <w:lvlJc w:val="left"/>
      <w:pPr>
        <w:ind w:left="1440" w:hanging="360"/>
      </w:pPr>
      <w:rPr>
        <w:rFonts w:ascii="Courier New" w:eastAsia="Courier New" w:hAnsi="Courier New"/>
        <w:w w:val="100"/>
        <w:sz w:val="20"/>
        <w:szCs w:val="20"/>
        <w:shd w:val="clear" w:color="auto" w:fill="auto"/>
      </w:rPr>
    </w:lvl>
    <w:lvl w:ilvl="2" w:tplc="4C722174">
      <w:start w:val="1"/>
      <w:numFmt w:val="bullet"/>
      <w:lvlText w:val="§"/>
      <w:lvlJc w:val="left"/>
      <w:pPr>
        <w:ind w:left="2160" w:hanging="360"/>
      </w:pPr>
      <w:rPr>
        <w:rFonts w:ascii="Wingdings" w:eastAsia="Wingdings" w:hAnsi="Wingdings"/>
        <w:w w:val="100"/>
        <w:sz w:val="20"/>
        <w:szCs w:val="20"/>
        <w:shd w:val="clear" w:color="auto" w:fill="auto"/>
      </w:rPr>
    </w:lvl>
    <w:lvl w:ilvl="3" w:tplc="D6309284">
      <w:start w:val="1"/>
      <w:numFmt w:val="bullet"/>
      <w:lvlText w:val="·"/>
      <w:lvlJc w:val="left"/>
      <w:pPr>
        <w:ind w:left="2880" w:hanging="360"/>
      </w:pPr>
      <w:rPr>
        <w:rFonts w:ascii="Symbol" w:eastAsia="Symbol" w:hAnsi="Symbol"/>
        <w:w w:val="100"/>
        <w:sz w:val="20"/>
        <w:szCs w:val="20"/>
        <w:shd w:val="clear" w:color="auto" w:fill="auto"/>
      </w:rPr>
    </w:lvl>
    <w:lvl w:ilvl="4" w:tplc="484888E2">
      <w:start w:val="1"/>
      <w:numFmt w:val="bullet"/>
      <w:lvlText w:val="o"/>
      <w:lvlJc w:val="left"/>
      <w:pPr>
        <w:ind w:left="3600" w:hanging="360"/>
      </w:pPr>
      <w:rPr>
        <w:rFonts w:ascii="Courier New" w:eastAsia="Courier New" w:hAnsi="Courier New"/>
        <w:w w:val="100"/>
        <w:sz w:val="20"/>
        <w:szCs w:val="20"/>
        <w:shd w:val="clear" w:color="auto" w:fill="auto"/>
      </w:rPr>
    </w:lvl>
    <w:lvl w:ilvl="5" w:tplc="F1B40806">
      <w:start w:val="1"/>
      <w:numFmt w:val="bullet"/>
      <w:lvlText w:val="§"/>
      <w:lvlJc w:val="left"/>
      <w:pPr>
        <w:ind w:left="4320" w:hanging="360"/>
      </w:pPr>
      <w:rPr>
        <w:rFonts w:ascii="Wingdings" w:eastAsia="Wingdings" w:hAnsi="Wingdings"/>
        <w:w w:val="100"/>
        <w:sz w:val="20"/>
        <w:szCs w:val="20"/>
        <w:shd w:val="clear" w:color="auto" w:fill="auto"/>
      </w:rPr>
    </w:lvl>
    <w:lvl w:ilvl="6" w:tplc="132E1374">
      <w:start w:val="1"/>
      <w:numFmt w:val="bullet"/>
      <w:lvlText w:val="·"/>
      <w:lvlJc w:val="left"/>
      <w:pPr>
        <w:ind w:left="5040" w:hanging="360"/>
      </w:pPr>
      <w:rPr>
        <w:rFonts w:ascii="Symbol" w:eastAsia="Symbol" w:hAnsi="Symbol"/>
        <w:w w:val="100"/>
        <w:sz w:val="20"/>
        <w:szCs w:val="20"/>
        <w:shd w:val="clear" w:color="auto" w:fill="auto"/>
      </w:rPr>
    </w:lvl>
    <w:lvl w:ilvl="7" w:tplc="B83A3E66">
      <w:start w:val="1"/>
      <w:numFmt w:val="bullet"/>
      <w:lvlText w:val="o"/>
      <w:lvlJc w:val="left"/>
      <w:pPr>
        <w:ind w:left="5760" w:hanging="360"/>
      </w:pPr>
      <w:rPr>
        <w:rFonts w:ascii="Courier New" w:eastAsia="Courier New" w:hAnsi="Courier New"/>
        <w:w w:val="100"/>
        <w:sz w:val="20"/>
        <w:szCs w:val="20"/>
        <w:shd w:val="clear" w:color="auto" w:fill="auto"/>
      </w:rPr>
    </w:lvl>
    <w:lvl w:ilvl="8" w:tplc="58D8EE1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3524F7"/>
    <w:multiLevelType w:val="hybridMultilevel"/>
    <w:tmpl w:val="C0229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CA14CA"/>
    <w:multiLevelType w:val="hybridMultilevel"/>
    <w:tmpl w:val="9766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674E1"/>
    <w:multiLevelType w:val="hybridMultilevel"/>
    <w:tmpl w:val="6A00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140949FB"/>
    <w:multiLevelType w:val="hybridMultilevel"/>
    <w:tmpl w:val="65252234"/>
    <w:lvl w:ilvl="0" w:tplc="4DA8A454">
      <w:start w:val="1"/>
      <w:numFmt w:val="bullet"/>
      <w:lvlText w:val="·"/>
      <w:lvlJc w:val="left"/>
      <w:pPr>
        <w:ind w:left="720" w:hanging="360"/>
      </w:pPr>
      <w:rPr>
        <w:rFonts w:ascii="Symbol" w:eastAsia="Symbol" w:hAnsi="Symbol"/>
        <w:w w:val="100"/>
        <w:sz w:val="20"/>
        <w:szCs w:val="20"/>
        <w:shd w:val="clear" w:color="auto" w:fill="auto"/>
      </w:rPr>
    </w:lvl>
    <w:lvl w:ilvl="1" w:tplc="B7DAA74C">
      <w:start w:val="1"/>
      <w:numFmt w:val="bullet"/>
      <w:lvlText w:val="o"/>
      <w:lvlJc w:val="left"/>
      <w:pPr>
        <w:ind w:left="1440" w:hanging="360"/>
      </w:pPr>
      <w:rPr>
        <w:rFonts w:ascii="Courier New" w:eastAsia="Courier New" w:hAnsi="Courier New"/>
        <w:w w:val="100"/>
        <w:sz w:val="20"/>
        <w:szCs w:val="20"/>
        <w:shd w:val="clear" w:color="auto" w:fill="auto"/>
      </w:rPr>
    </w:lvl>
    <w:lvl w:ilvl="2" w:tplc="AB460C1E">
      <w:start w:val="1"/>
      <w:numFmt w:val="bullet"/>
      <w:lvlText w:val="§"/>
      <w:lvlJc w:val="left"/>
      <w:pPr>
        <w:ind w:left="2160" w:hanging="360"/>
      </w:pPr>
      <w:rPr>
        <w:rFonts w:ascii="Wingdings" w:eastAsia="Wingdings" w:hAnsi="Wingdings"/>
        <w:w w:val="100"/>
        <w:sz w:val="20"/>
        <w:szCs w:val="20"/>
        <w:shd w:val="clear" w:color="auto" w:fill="auto"/>
      </w:rPr>
    </w:lvl>
    <w:lvl w:ilvl="3" w:tplc="16D2F2FE">
      <w:start w:val="1"/>
      <w:numFmt w:val="bullet"/>
      <w:lvlText w:val="·"/>
      <w:lvlJc w:val="left"/>
      <w:pPr>
        <w:ind w:left="2880" w:hanging="360"/>
      </w:pPr>
      <w:rPr>
        <w:rFonts w:ascii="Symbol" w:eastAsia="Symbol" w:hAnsi="Symbol"/>
        <w:w w:val="100"/>
        <w:sz w:val="20"/>
        <w:szCs w:val="20"/>
        <w:shd w:val="clear" w:color="auto" w:fill="auto"/>
      </w:rPr>
    </w:lvl>
    <w:lvl w:ilvl="4" w:tplc="A5FA1C52">
      <w:start w:val="1"/>
      <w:numFmt w:val="bullet"/>
      <w:lvlText w:val="o"/>
      <w:lvlJc w:val="left"/>
      <w:pPr>
        <w:ind w:left="3600" w:hanging="360"/>
      </w:pPr>
      <w:rPr>
        <w:rFonts w:ascii="Courier New" w:eastAsia="Courier New" w:hAnsi="Courier New"/>
        <w:w w:val="100"/>
        <w:sz w:val="20"/>
        <w:szCs w:val="20"/>
        <w:shd w:val="clear" w:color="auto" w:fill="auto"/>
      </w:rPr>
    </w:lvl>
    <w:lvl w:ilvl="5" w:tplc="D14A7E82">
      <w:start w:val="1"/>
      <w:numFmt w:val="bullet"/>
      <w:lvlText w:val="§"/>
      <w:lvlJc w:val="left"/>
      <w:pPr>
        <w:ind w:left="4320" w:hanging="360"/>
      </w:pPr>
      <w:rPr>
        <w:rFonts w:ascii="Wingdings" w:eastAsia="Wingdings" w:hAnsi="Wingdings"/>
        <w:w w:val="100"/>
        <w:sz w:val="20"/>
        <w:szCs w:val="20"/>
        <w:shd w:val="clear" w:color="auto" w:fill="auto"/>
      </w:rPr>
    </w:lvl>
    <w:lvl w:ilvl="6" w:tplc="DF6833E2">
      <w:start w:val="1"/>
      <w:numFmt w:val="bullet"/>
      <w:lvlText w:val="·"/>
      <w:lvlJc w:val="left"/>
      <w:pPr>
        <w:ind w:left="5040" w:hanging="360"/>
      </w:pPr>
      <w:rPr>
        <w:rFonts w:ascii="Symbol" w:eastAsia="Symbol" w:hAnsi="Symbol"/>
        <w:w w:val="100"/>
        <w:sz w:val="20"/>
        <w:szCs w:val="20"/>
        <w:shd w:val="clear" w:color="auto" w:fill="auto"/>
      </w:rPr>
    </w:lvl>
    <w:lvl w:ilvl="7" w:tplc="E862B0D6">
      <w:start w:val="1"/>
      <w:numFmt w:val="bullet"/>
      <w:lvlText w:val="o"/>
      <w:lvlJc w:val="left"/>
      <w:pPr>
        <w:ind w:left="5760" w:hanging="360"/>
      </w:pPr>
      <w:rPr>
        <w:rFonts w:ascii="Courier New" w:eastAsia="Courier New" w:hAnsi="Courier New"/>
        <w:w w:val="100"/>
        <w:sz w:val="20"/>
        <w:szCs w:val="20"/>
        <w:shd w:val="clear" w:color="auto" w:fill="auto"/>
      </w:rPr>
    </w:lvl>
    <w:lvl w:ilvl="8" w:tplc="AF26B26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15D122CE"/>
    <w:multiLevelType w:val="hybridMultilevel"/>
    <w:tmpl w:val="7A988378"/>
    <w:lvl w:ilvl="0" w:tplc="BAF6F80C">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D7737"/>
    <w:multiLevelType w:val="hybridMultilevel"/>
    <w:tmpl w:val="8A14A770"/>
    <w:lvl w:ilvl="0" w:tplc="FE0800EA">
      <w:start w:val="1"/>
      <w:numFmt w:val="bullet"/>
      <w:lvlText w:val=""/>
      <w:lvlJc w:val="left"/>
      <w:pPr>
        <w:ind w:left="1080" w:hanging="360"/>
      </w:pPr>
      <w:rPr>
        <w:rFonts w:ascii="Symbol" w:hAnsi="Symbol" w:hint="default"/>
      </w:rPr>
    </w:lvl>
    <w:lvl w:ilvl="1" w:tplc="893432AC" w:tentative="1">
      <w:start w:val="1"/>
      <w:numFmt w:val="bullet"/>
      <w:lvlText w:val="o"/>
      <w:lvlJc w:val="left"/>
      <w:pPr>
        <w:ind w:left="1800" w:hanging="360"/>
      </w:pPr>
      <w:rPr>
        <w:rFonts w:ascii="Courier New" w:hAnsi="Courier New" w:cs="Courier New" w:hint="default"/>
      </w:rPr>
    </w:lvl>
    <w:lvl w:ilvl="2" w:tplc="5FF00A2C" w:tentative="1">
      <w:start w:val="1"/>
      <w:numFmt w:val="bullet"/>
      <w:lvlText w:val=""/>
      <w:lvlJc w:val="left"/>
      <w:pPr>
        <w:ind w:left="2520" w:hanging="360"/>
      </w:pPr>
      <w:rPr>
        <w:rFonts w:ascii="Wingdings" w:hAnsi="Wingdings" w:hint="default"/>
      </w:rPr>
    </w:lvl>
    <w:lvl w:ilvl="3" w:tplc="7E38AAC2" w:tentative="1">
      <w:start w:val="1"/>
      <w:numFmt w:val="bullet"/>
      <w:lvlText w:val=""/>
      <w:lvlJc w:val="left"/>
      <w:pPr>
        <w:ind w:left="3240" w:hanging="360"/>
      </w:pPr>
      <w:rPr>
        <w:rFonts w:ascii="Symbol" w:hAnsi="Symbol" w:hint="default"/>
      </w:rPr>
    </w:lvl>
    <w:lvl w:ilvl="4" w:tplc="7CEC092E" w:tentative="1">
      <w:start w:val="1"/>
      <w:numFmt w:val="bullet"/>
      <w:lvlText w:val="o"/>
      <w:lvlJc w:val="left"/>
      <w:pPr>
        <w:ind w:left="3960" w:hanging="360"/>
      </w:pPr>
      <w:rPr>
        <w:rFonts w:ascii="Courier New" w:hAnsi="Courier New" w:cs="Courier New" w:hint="default"/>
      </w:rPr>
    </w:lvl>
    <w:lvl w:ilvl="5" w:tplc="6F34895E" w:tentative="1">
      <w:start w:val="1"/>
      <w:numFmt w:val="bullet"/>
      <w:lvlText w:val=""/>
      <w:lvlJc w:val="left"/>
      <w:pPr>
        <w:ind w:left="4680" w:hanging="360"/>
      </w:pPr>
      <w:rPr>
        <w:rFonts w:ascii="Wingdings" w:hAnsi="Wingdings" w:hint="default"/>
      </w:rPr>
    </w:lvl>
    <w:lvl w:ilvl="6" w:tplc="3D7663C2" w:tentative="1">
      <w:start w:val="1"/>
      <w:numFmt w:val="bullet"/>
      <w:lvlText w:val=""/>
      <w:lvlJc w:val="left"/>
      <w:pPr>
        <w:ind w:left="5400" w:hanging="360"/>
      </w:pPr>
      <w:rPr>
        <w:rFonts w:ascii="Symbol" w:hAnsi="Symbol" w:hint="default"/>
      </w:rPr>
    </w:lvl>
    <w:lvl w:ilvl="7" w:tplc="5E4C0DC0" w:tentative="1">
      <w:start w:val="1"/>
      <w:numFmt w:val="bullet"/>
      <w:lvlText w:val="o"/>
      <w:lvlJc w:val="left"/>
      <w:pPr>
        <w:ind w:left="6120" w:hanging="360"/>
      </w:pPr>
      <w:rPr>
        <w:rFonts w:ascii="Courier New" w:hAnsi="Courier New" w:cs="Courier New" w:hint="default"/>
      </w:rPr>
    </w:lvl>
    <w:lvl w:ilvl="8" w:tplc="BDF4DE46" w:tentative="1">
      <w:start w:val="1"/>
      <w:numFmt w:val="bullet"/>
      <w:lvlText w:val=""/>
      <w:lvlJc w:val="left"/>
      <w:pPr>
        <w:ind w:left="6840" w:hanging="360"/>
      </w:pPr>
      <w:rPr>
        <w:rFonts w:ascii="Wingdings" w:hAnsi="Wingdings" w:hint="default"/>
      </w:rPr>
    </w:lvl>
  </w:abstractNum>
  <w:abstractNum w:abstractNumId="12" w15:restartNumberingAfterBreak="0">
    <w:nsid w:val="1A6F4832"/>
    <w:multiLevelType w:val="hybridMultilevel"/>
    <w:tmpl w:val="9774BB04"/>
    <w:lvl w:ilvl="0" w:tplc="486A8A2A">
      <w:numFmt w:val="bullet"/>
      <w:lvlText w:val="-"/>
      <w:lvlJc w:val="left"/>
      <w:pPr>
        <w:ind w:left="720" w:hanging="360"/>
      </w:pPr>
      <w:rPr>
        <w:rFonts w:ascii="Arial" w:eastAsiaTheme="minorHAnsi" w:hAnsi="Arial" w:cs="Arial" w:hint="default"/>
      </w:rPr>
    </w:lvl>
    <w:lvl w:ilvl="1" w:tplc="E3EC6DC2">
      <w:start w:val="1"/>
      <w:numFmt w:val="bullet"/>
      <w:lvlText w:val="o"/>
      <w:lvlJc w:val="left"/>
      <w:pPr>
        <w:ind w:left="1440" w:hanging="360"/>
      </w:pPr>
      <w:rPr>
        <w:rFonts w:ascii="Courier New" w:hAnsi="Courier New" w:cs="Courier New" w:hint="default"/>
      </w:rPr>
    </w:lvl>
    <w:lvl w:ilvl="2" w:tplc="4268132C" w:tentative="1">
      <w:start w:val="1"/>
      <w:numFmt w:val="bullet"/>
      <w:lvlText w:val=""/>
      <w:lvlJc w:val="left"/>
      <w:pPr>
        <w:ind w:left="2160" w:hanging="360"/>
      </w:pPr>
      <w:rPr>
        <w:rFonts w:ascii="Wingdings" w:hAnsi="Wingdings" w:hint="default"/>
      </w:rPr>
    </w:lvl>
    <w:lvl w:ilvl="3" w:tplc="F9387D68" w:tentative="1">
      <w:start w:val="1"/>
      <w:numFmt w:val="bullet"/>
      <w:lvlText w:val=""/>
      <w:lvlJc w:val="left"/>
      <w:pPr>
        <w:ind w:left="2880" w:hanging="360"/>
      </w:pPr>
      <w:rPr>
        <w:rFonts w:ascii="Symbol" w:hAnsi="Symbol" w:hint="default"/>
      </w:rPr>
    </w:lvl>
    <w:lvl w:ilvl="4" w:tplc="A6BAB3AA" w:tentative="1">
      <w:start w:val="1"/>
      <w:numFmt w:val="bullet"/>
      <w:lvlText w:val="o"/>
      <w:lvlJc w:val="left"/>
      <w:pPr>
        <w:ind w:left="3600" w:hanging="360"/>
      </w:pPr>
      <w:rPr>
        <w:rFonts w:ascii="Courier New" w:hAnsi="Courier New" w:cs="Courier New" w:hint="default"/>
      </w:rPr>
    </w:lvl>
    <w:lvl w:ilvl="5" w:tplc="0BFC1406" w:tentative="1">
      <w:start w:val="1"/>
      <w:numFmt w:val="bullet"/>
      <w:lvlText w:val=""/>
      <w:lvlJc w:val="left"/>
      <w:pPr>
        <w:ind w:left="4320" w:hanging="360"/>
      </w:pPr>
      <w:rPr>
        <w:rFonts w:ascii="Wingdings" w:hAnsi="Wingdings" w:hint="default"/>
      </w:rPr>
    </w:lvl>
    <w:lvl w:ilvl="6" w:tplc="9DCE7B3C" w:tentative="1">
      <w:start w:val="1"/>
      <w:numFmt w:val="bullet"/>
      <w:lvlText w:val=""/>
      <w:lvlJc w:val="left"/>
      <w:pPr>
        <w:ind w:left="5040" w:hanging="360"/>
      </w:pPr>
      <w:rPr>
        <w:rFonts w:ascii="Symbol" w:hAnsi="Symbol" w:hint="default"/>
      </w:rPr>
    </w:lvl>
    <w:lvl w:ilvl="7" w:tplc="46B2A980" w:tentative="1">
      <w:start w:val="1"/>
      <w:numFmt w:val="bullet"/>
      <w:lvlText w:val="o"/>
      <w:lvlJc w:val="left"/>
      <w:pPr>
        <w:ind w:left="5760" w:hanging="360"/>
      </w:pPr>
      <w:rPr>
        <w:rFonts w:ascii="Courier New" w:hAnsi="Courier New" w:cs="Courier New" w:hint="default"/>
      </w:rPr>
    </w:lvl>
    <w:lvl w:ilvl="8" w:tplc="3CDE702E" w:tentative="1">
      <w:start w:val="1"/>
      <w:numFmt w:val="bullet"/>
      <w:lvlText w:val=""/>
      <w:lvlJc w:val="left"/>
      <w:pPr>
        <w:ind w:left="6480" w:hanging="360"/>
      </w:pPr>
      <w:rPr>
        <w:rFonts w:ascii="Wingdings" w:hAnsi="Wingdings" w:hint="default"/>
      </w:rPr>
    </w:lvl>
  </w:abstractNum>
  <w:abstractNum w:abstractNumId="13" w15:restartNumberingAfterBreak="0">
    <w:nsid w:val="1DC96BC0"/>
    <w:multiLevelType w:val="hybridMultilevel"/>
    <w:tmpl w:val="21866EB2"/>
    <w:lvl w:ilvl="0" w:tplc="38D231FA">
      <w:start w:val="1"/>
      <w:numFmt w:val="bullet"/>
      <w:lvlText w:val=""/>
      <w:lvlJc w:val="left"/>
      <w:pPr>
        <w:ind w:left="360" w:hanging="360"/>
      </w:pPr>
      <w:rPr>
        <w:rFonts w:ascii="Wingdings" w:hAnsi="Wingdings" w:hint="default"/>
      </w:rPr>
    </w:lvl>
    <w:lvl w:ilvl="1" w:tplc="BBECD366">
      <w:start w:val="1"/>
      <w:numFmt w:val="bullet"/>
      <w:lvlText w:val=""/>
      <w:lvlJc w:val="left"/>
      <w:pPr>
        <w:ind w:left="1080" w:hanging="360"/>
      </w:pPr>
      <w:rPr>
        <w:rFonts w:ascii="Wingdings" w:hAnsi="Wingdings" w:hint="default"/>
      </w:rPr>
    </w:lvl>
    <w:lvl w:ilvl="2" w:tplc="96B4DCD8" w:tentative="1">
      <w:start w:val="1"/>
      <w:numFmt w:val="bullet"/>
      <w:lvlText w:val=""/>
      <w:lvlJc w:val="left"/>
      <w:pPr>
        <w:ind w:left="1800" w:hanging="360"/>
      </w:pPr>
      <w:rPr>
        <w:rFonts w:ascii="Wingdings" w:hAnsi="Wingdings" w:hint="default"/>
      </w:rPr>
    </w:lvl>
    <w:lvl w:ilvl="3" w:tplc="F26A7912" w:tentative="1">
      <w:start w:val="1"/>
      <w:numFmt w:val="bullet"/>
      <w:lvlText w:val=""/>
      <w:lvlJc w:val="left"/>
      <w:pPr>
        <w:ind w:left="2520" w:hanging="360"/>
      </w:pPr>
      <w:rPr>
        <w:rFonts w:ascii="Symbol" w:hAnsi="Symbol" w:hint="default"/>
      </w:rPr>
    </w:lvl>
    <w:lvl w:ilvl="4" w:tplc="338031C6" w:tentative="1">
      <w:start w:val="1"/>
      <w:numFmt w:val="bullet"/>
      <w:lvlText w:val="o"/>
      <w:lvlJc w:val="left"/>
      <w:pPr>
        <w:ind w:left="3240" w:hanging="360"/>
      </w:pPr>
      <w:rPr>
        <w:rFonts w:ascii="Courier New" w:hAnsi="Courier New" w:cs="Courier New" w:hint="default"/>
      </w:rPr>
    </w:lvl>
    <w:lvl w:ilvl="5" w:tplc="C98CBC50" w:tentative="1">
      <w:start w:val="1"/>
      <w:numFmt w:val="bullet"/>
      <w:lvlText w:val=""/>
      <w:lvlJc w:val="left"/>
      <w:pPr>
        <w:ind w:left="3960" w:hanging="360"/>
      </w:pPr>
      <w:rPr>
        <w:rFonts w:ascii="Wingdings" w:hAnsi="Wingdings" w:hint="default"/>
      </w:rPr>
    </w:lvl>
    <w:lvl w:ilvl="6" w:tplc="E3D64786" w:tentative="1">
      <w:start w:val="1"/>
      <w:numFmt w:val="bullet"/>
      <w:lvlText w:val=""/>
      <w:lvlJc w:val="left"/>
      <w:pPr>
        <w:ind w:left="4680" w:hanging="360"/>
      </w:pPr>
      <w:rPr>
        <w:rFonts w:ascii="Symbol" w:hAnsi="Symbol" w:hint="default"/>
      </w:rPr>
    </w:lvl>
    <w:lvl w:ilvl="7" w:tplc="57F25ED0" w:tentative="1">
      <w:start w:val="1"/>
      <w:numFmt w:val="bullet"/>
      <w:lvlText w:val="o"/>
      <w:lvlJc w:val="left"/>
      <w:pPr>
        <w:ind w:left="5400" w:hanging="360"/>
      </w:pPr>
      <w:rPr>
        <w:rFonts w:ascii="Courier New" w:hAnsi="Courier New" w:cs="Courier New" w:hint="default"/>
      </w:rPr>
    </w:lvl>
    <w:lvl w:ilvl="8" w:tplc="ADE4B6AC" w:tentative="1">
      <w:start w:val="1"/>
      <w:numFmt w:val="bullet"/>
      <w:lvlText w:val=""/>
      <w:lvlJc w:val="left"/>
      <w:pPr>
        <w:ind w:left="6120" w:hanging="360"/>
      </w:pPr>
      <w:rPr>
        <w:rFonts w:ascii="Wingdings" w:hAnsi="Wingdings" w:hint="default"/>
      </w:rPr>
    </w:lvl>
  </w:abstractNum>
  <w:abstractNum w:abstractNumId="14" w15:restartNumberingAfterBreak="0">
    <w:nsid w:val="23954803"/>
    <w:multiLevelType w:val="hybridMultilevel"/>
    <w:tmpl w:val="A31841FE"/>
    <w:lvl w:ilvl="0" w:tplc="6D0E0A12">
      <w:start w:val="1"/>
      <w:numFmt w:val="bullet"/>
      <w:lvlText w:val=""/>
      <w:lvlJc w:val="left"/>
      <w:pPr>
        <w:ind w:left="720" w:hanging="360"/>
      </w:pPr>
      <w:rPr>
        <w:rFonts w:ascii="Symbol" w:hAnsi="Symbol" w:hint="default"/>
        <w:sz w:val="24"/>
      </w:rPr>
    </w:lvl>
    <w:lvl w:ilvl="1" w:tplc="A4A4B8D4" w:tentative="1">
      <w:start w:val="1"/>
      <w:numFmt w:val="bullet"/>
      <w:lvlText w:val="o"/>
      <w:lvlJc w:val="left"/>
      <w:pPr>
        <w:ind w:left="1440" w:hanging="360"/>
      </w:pPr>
      <w:rPr>
        <w:rFonts w:ascii="Courier New" w:hAnsi="Courier New" w:cs="Courier New" w:hint="default"/>
      </w:rPr>
    </w:lvl>
    <w:lvl w:ilvl="2" w:tplc="2B3E54CA" w:tentative="1">
      <w:start w:val="1"/>
      <w:numFmt w:val="bullet"/>
      <w:lvlText w:val=""/>
      <w:lvlJc w:val="left"/>
      <w:pPr>
        <w:ind w:left="2160" w:hanging="360"/>
      </w:pPr>
      <w:rPr>
        <w:rFonts w:ascii="Wingdings" w:hAnsi="Wingdings" w:hint="default"/>
      </w:rPr>
    </w:lvl>
    <w:lvl w:ilvl="3" w:tplc="512A0B4E" w:tentative="1">
      <w:start w:val="1"/>
      <w:numFmt w:val="bullet"/>
      <w:lvlText w:val=""/>
      <w:lvlJc w:val="left"/>
      <w:pPr>
        <w:ind w:left="2880" w:hanging="360"/>
      </w:pPr>
      <w:rPr>
        <w:rFonts w:ascii="Symbol" w:hAnsi="Symbol" w:hint="default"/>
      </w:rPr>
    </w:lvl>
    <w:lvl w:ilvl="4" w:tplc="FCE2EEA8" w:tentative="1">
      <w:start w:val="1"/>
      <w:numFmt w:val="bullet"/>
      <w:lvlText w:val="o"/>
      <w:lvlJc w:val="left"/>
      <w:pPr>
        <w:ind w:left="3600" w:hanging="360"/>
      </w:pPr>
      <w:rPr>
        <w:rFonts w:ascii="Courier New" w:hAnsi="Courier New" w:cs="Courier New" w:hint="default"/>
      </w:rPr>
    </w:lvl>
    <w:lvl w:ilvl="5" w:tplc="4D0C4CD2" w:tentative="1">
      <w:start w:val="1"/>
      <w:numFmt w:val="bullet"/>
      <w:lvlText w:val=""/>
      <w:lvlJc w:val="left"/>
      <w:pPr>
        <w:ind w:left="4320" w:hanging="360"/>
      </w:pPr>
      <w:rPr>
        <w:rFonts w:ascii="Wingdings" w:hAnsi="Wingdings" w:hint="default"/>
      </w:rPr>
    </w:lvl>
    <w:lvl w:ilvl="6" w:tplc="A5B496E6" w:tentative="1">
      <w:start w:val="1"/>
      <w:numFmt w:val="bullet"/>
      <w:lvlText w:val=""/>
      <w:lvlJc w:val="left"/>
      <w:pPr>
        <w:ind w:left="5040" w:hanging="360"/>
      </w:pPr>
      <w:rPr>
        <w:rFonts w:ascii="Symbol" w:hAnsi="Symbol" w:hint="default"/>
      </w:rPr>
    </w:lvl>
    <w:lvl w:ilvl="7" w:tplc="5CD492F8" w:tentative="1">
      <w:start w:val="1"/>
      <w:numFmt w:val="bullet"/>
      <w:lvlText w:val="o"/>
      <w:lvlJc w:val="left"/>
      <w:pPr>
        <w:ind w:left="5760" w:hanging="360"/>
      </w:pPr>
      <w:rPr>
        <w:rFonts w:ascii="Courier New" w:hAnsi="Courier New" w:cs="Courier New" w:hint="default"/>
      </w:rPr>
    </w:lvl>
    <w:lvl w:ilvl="8" w:tplc="BD90F7CC" w:tentative="1">
      <w:start w:val="1"/>
      <w:numFmt w:val="bullet"/>
      <w:lvlText w:val=""/>
      <w:lvlJc w:val="left"/>
      <w:pPr>
        <w:ind w:left="6480" w:hanging="360"/>
      </w:pPr>
      <w:rPr>
        <w:rFonts w:ascii="Wingdings" w:hAnsi="Wingdings" w:hint="default"/>
      </w:rPr>
    </w:lvl>
  </w:abstractNum>
  <w:abstractNum w:abstractNumId="15" w15:restartNumberingAfterBreak="0">
    <w:nsid w:val="23965E8E"/>
    <w:multiLevelType w:val="hybridMultilevel"/>
    <w:tmpl w:val="820E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AA7914"/>
    <w:multiLevelType w:val="hybridMultilevel"/>
    <w:tmpl w:val="9B84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473D4"/>
    <w:multiLevelType w:val="hybridMultilevel"/>
    <w:tmpl w:val="0BBA2C0C"/>
    <w:lvl w:ilvl="0" w:tplc="848C868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FF2F95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8F0E741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384820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CD0B34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C2EC2C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AB8AF0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7C0AC5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66EBE0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8" w15:restartNumberingAfterBreak="0">
    <w:nsid w:val="2E106A47"/>
    <w:multiLevelType w:val="hybridMultilevel"/>
    <w:tmpl w:val="D00C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C12EDB"/>
    <w:multiLevelType w:val="hybridMultilevel"/>
    <w:tmpl w:val="9A844432"/>
    <w:lvl w:ilvl="0" w:tplc="B980E772">
      <w:start w:val="1"/>
      <w:numFmt w:val="bullet"/>
      <w:lvlText w:val=""/>
      <w:lvlJc w:val="left"/>
      <w:pPr>
        <w:ind w:left="360" w:hanging="360"/>
      </w:pPr>
      <w:rPr>
        <w:rFonts w:ascii="Wingdings" w:hAnsi="Wingdings" w:hint="default"/>
      </w:rPr>
    </w:lvl>
    <w:lvl w:ilvl="1" w:tplc="B8369902" w:tentative="1">
      <w:start w:val="1"/>
      <w:numFmt w:val="bullet"/>
      <w:lvlText w:val="o"/>
      <w:lvlJc w:val="left"/>
      <w:pPr>
        <w:ind w:left="1080" w:hanging="360"/>
      </w:pPr>
      <w:rPr>
        <w:rFonts w:ascii="Courier New" w:hAnsi="Courier New" w:cs="Courier New" w:hint="default"/>
      </w:rPr>
    </w:lvl>
    <w:lvl w:ilvl="2" w:tplc="8C8AF7CE" w:tentative="1">
      <w:start w:val="1"/>
      <w:numFmt w:val="bullet"/>
      <w:lvlText w:val=""/>
      <w:lvlJc w:val="left"/>
      <w:pPr>
        <w:ind w:left="1800" w:hanging="360"/>
      </w:pPr>
      <w:rPr>
        <w:rFonts w:ascii="Wingdings" w:hAnsi="Wingdings" w:hint="default"/>
      </w:rPr>
    </w:lvl>
    <w:lvl w:ilvl="3" w:tplc="4A32D812" w:tentative="1">
      <w:start w:val="1"/>
      <w:numFmt w:val="bullet"/>
      <w:lvlText w:val=""/>
      <w:lvlJc w:val="left"/>
      <w:pPr>
        <w:ind w:left="2520" w:hanging="360"/>
      </w:pPr>
      <w:rPr>
        <w:rFonts w:ascii="Symbol" w:hAnsi="Symbol" w:hint="default"/>
      </w:rPr>
    </w:lvl>
    <w:lvl w:ilvl="4" w:tplc="DFC88D5E" w:tentative="1">
      <w:start w:val="1"/>
      <w:numFmt w:val="bullet"/>
      <w:lvlText w:val="o"/>
      <w:lvlJc w:val="left"/>
      <w:pPr>
        <w:ind w:left="3240" w:hanging="360"/>
      </w:pPr>
      <w:rPr>
        <w:rFonts w:ascii="Courier New" w:hAnsi="Courier New" w:cs="Courier New" w:hint="default"/>
      </w:rPr>
    </w:lvl>
    <w:lvl w:ilvl="5" w:tplc="C4E88760" w:tentative="1">
      <w:start w:val="1"/>
      <w:numFmt w:val="bullet"/>
      <w:lvlText w:val=""/>
      <w:lvlJc w:val="left"/>
      <w:pPr>
        <w:ind w:left="3960" w:hanging="360"/>
      </w:pPr>
      <w:rPr>
        <w:rFonts w:ascii="Wingdings" w:hAnsi="Wingdings" w:hint="default"/>
      </w:rPr>
    </w:lvl>
    <w:lvl w:ilvl="6" w:tplc="D9C05474" w:tentative="1">
      <w:start w:val="1"/>
      <w:numFmt w:val="bullet"/>
      <w:lvlText w:val=""/>
      <w:lvlJc w:val="left"/>
      <w:pPr>
        <w:ind w:left="4680" w:hanging="360"/>
      </w:pPr>
      <w:rPr>
        <w:rFonts w:ascii="Symbol" w:hAnsi="Symbol" w:hint="default"/>
      </w:rPr>
    </w:lvl>
    <w:lvl w:ilvl="7" w:tplc="5F7EC7AA" w:tentative="1">
      <w:start w:val="1"/>
      <w:numFmt w:val="bullet"/>
      <w:lvlText w:val="o"/>
      <w:lvlJc w:val="left"/>
      <w:pPr>
        <w:ind w:left="5400" w:hanging="360"/>
      </w:pPr>
      <w:rPr>
        <w:rFonts w:ascii="Courier New" w:hAnsi="Courier New" w:cs="Courier New" w:hint="default"/>
      </w:rPr>
    </w:lvl>
    <w:lvl w:ilvl="8" w:tplc="59CC67B2" w:tentative="1">
      <w:start w:val="1"/>
      <w:numFmt w:val="bullet"/>
      <w:lvlText w:val=""/>
      <w:lvlJc w:val="left"/>
      <w:pPr>
        <w:ind w:left="6120" w:hanging="360"/>
      </w:pPr>
      <w:rPr>
        <w:rFonts w:ascii="Wingdings" w:hAnsi="Wingdings" w:hint="default"/>
      </w:rPr>
    </w:lvl>
  </w:abstractNum>
  <w:abstractNum w:abstractNumId="20" w15:restartNumberingAfterBreak="0">
    <w:nsid w:val="33D776BC"/>
    <w:multiLevelType w:val="hybridMultilevel"/>
    <w:tmpl w:val="A1CA33B2"/>
    <w:lvl w:ilvl="0" w:tplc="51E66972">
      <w:start w:val="1"/>
      <w:numFmt w:val="bullet"/>
      <w:lvlText w:val=""/>
      <w:lvlJc w:val="left"/>
      <w:pPr>
        <w:ind w:left="360" w:hanging="360"/>
      </w:pPr>
      <w:rPr>
        <w:rFonts w:ascii="Wingdings" w:hAnsi="Wingdings" w:hint="default"/>
      </w:rPr>
    </w:lvl>
    <w:lvl w:ilvl="1" w:tplc="C5165048" w:tentative="1">
      <w:start w:val="1"/>
      <w:numFmt w:val="bullet"/>
      <w:lvlText w:val="o"/>
      <w:lvlJc w:val="left"/>
      <w:pPr>
        <w:ind w:left="1080" w:hanging="360"/>
      </w:pPr>
      <w:rPr>
        <w:rFonts w:ascii="Courier New" w:hAnsi="Courier New" w:cs="Courier New" w:hint="default"/>
      </w:rPr>
    </w:lvl>
    <w:lvl w:ilvl="2" w:tplc="46E2C660" w:tentative="1">
      <w:start w:val="1"/>
      <w:numFmt w:val="bullet"/>
      <w:lvlText w:val=""/>
      <w:lvlJc w:val="left"/>
      <w:pPr>
        <w:ind w:left="1800" w:hanging="360"/>
      </w:pPr>
      <w:rPr>
        <w:rFonts w:ascii="Wingdings" w:hAnsi="Wingdings" w:hint="default"/>
      </w:rPr>
    </w:lvl>
    <w:lvl w:ilvl="3" w:tplc="D72404C4" w:tentative="1">
      <w:start w:val="1"/>
      <w:numFmt w:val="bullet"/>
      <w:lvlText w:val=""/>
      <w:lvlJc w:val="left"/>
      <w:pPr>
        <w:ind w:left="2520" w:hanging="360"/>
      </w:pPr>
      <w:rPr>
        <w:rFonts w:ascii="Symbol" w:hAnsi="Symbol" w:hint="default"/>
      </w:rPr>
    </w:lvl>
    <w:lvl w:ilvl="4" w:tplc="1EF27A0E" w:tentative="1">
      <w:start w:val="1"/>
      <w:numFmt w:val="bullet"/>
      <w:lvlText w:val="o"/>
      <w:lvlJc w:val="left"/>
      <w:pPr>
        <w:ind w:left="3240" w:hanging="360"/>
      </w:pPr>
      <w:rPr>
        <w:rFonts w:ascii="Courier New" w:hAnsi="Courier New" w:cs="Courier New" w:hint="default"/>
      </w:rPr>
    </w:lvl>
    <w:lvl w:ilvl="5" w:tplc="C914957E" w:tentative="1">
      <w:start w:val="1"/>
      <w:numFmt w:val="bullet"/>
      <w:lvlText w:val=""/>
      <w:lvlJc w:val="left"/>
      <w:pPr>
        <w:ind w:left="3960" w:hanging="360"/>
      </w:pPr>
      <w:rPr>
        <w:rFonts w:ascii="Wingdings" w:hAnsi="Wingdings" w:hint="default"/>
      </w:rPr>
    </w:lvl>
    <w:lvl w:ilvl="6" w:tplc="AC64FB82" w:tentative="1">
      <w:start w:val="1"/>
      <w:numFmt w:val="bullet"/>
      <w:lvlText w:val=""/>
      <w:lvlJc w:val="left"/>
      <w:pPr>
        <w:ind w:left="4680" w:hanging="360"/>
      </w:pPr>
      <w:rPr>
        <w:rFonts w:ascii="Symbol" w:hAnsi="Symbol" w:hint="default"/>
      </w:rPr>
    </w:lvl>
    <w:lvl w:ilvl="7" w:tplc="74EE6C24" w:tentative="1">
      <w:start w:val="1"/>
      <w:numFmt w:val="bullet"/>
      <w:lvlText w:val="o"/>
      <w:lvlJc w:val="left"/>
      <w:pPr>
        <w:ind w:left="5400" w:hanging="360"/>
      </w:pPr>
      <w:rPr>
        <w:rFonts w:ascii="Courier New" w:hAnsi="Courier New" w:cs="Courier New" w:hint="default"/>
      </w:rPr>
    </w:lvl>
    <w:lvl w:ilvl="8" w:tplc="FD9A7FF6" w:tentative="1">
      <w:start w:val="1"/>
      <w:numFmt w:val="bullet"/>
      <w:lvlText w:val=""/>
      <w:lvlJc w:val="left"/>
      <w:pPr>
        <w:ind w:left="6120" w:hanging="360"/>
      </w:pPr>
      <w:rPr>
        <w:rFonts w:ascii="Wingdings" w:hAnsi="Wingdings" w:hint="default"/>
      </w:rPr>
    </w:lvl>
  </w:abstractNum>
  <w:abstractNum w:abstractNumId="21" w15:restartNumberingAfterBreak="0">
    <w:nsid w:val="39C1658C"/>
    <w:multiLevelType w:val="hybridMultilevel"/>
    <w:tmpl w:val="B07874A0"/>
    <w:lvl w:ilvl="0" w:tplc="CB1A5B86">
      <w:start w:val="8"/>
      <w:numFmt w:val="bullet"/>
      <w:lvlText w:val="-"/>
      <w:lvlJc w:val="left"/>
      <w:pPr>
        <w:ind w:left="720" w:hanging="360"/>
      </w:pPr>
      <w:rPr>
        <w:rFonts w:ascii="Arial" w:eastAsia="Calibr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9601A"/>
    <w:multiLevelType w:val="hybridMultilevel"/>
    <w:tmpl w:val="17545186"/>
    <w:lvl w:ilvl="0" w:tplc="08090001">
      <w:start w:val="1"/>
      <w:numFmt w:val="bullet"/>
      <w:lvlText w:val=""/>
      <w:lvlJc w:val="left"/>
      <w:pPr>
        <w:ind w:left="360" w:hanging="360"/>
      </w:pPr>
      <w:rPr>
        <w:rFonts w:ascii="Symbol" w:hAnsi="Symbol" w:hint="default"/>
      </w:rPr>
    </w:lvl>
    <w:lvl w:ilvl="1" w:tplc="FAFC3012" w:tentative="1">
      <w:start w:val="1"/>
      <w:numFmt w:val="bullet"/>
      <w:lvlText w:val="o"/>
      <w:lvlJc w:val="left"/>
      <w:pPr>
        <w:ind w:left="1080" w:hanging="360"/>
      </w:pPr>
      <w:rPr>
        <w:rFonts w:ascii="Courier New" w:hAnsi="Courier New" w:cs="Courier New" w:hint="default"/>
      </w:rPr>
    </w:lvl>
    <w:lvl w:ilvl="2" w:tplc="A2CE321E" w:tentative="1">
      <w:start w:val="1"/>
      <w:numFmt w:val="bullet"/>
      <w:lvlText w:val=""/>
      <w:lvlJc w:val="left"/>
      <w:pPr>
        <w:ind w:left="1800" w:hanging="360"/>
      </w:pPr>
      <w:rPr>
        <w:rFonts w:ascii="Wingdings" w:hAnsi="Wingdings" w:hint="default"/>
      </w:rPr>
    </w:lvl>
    <w:lvl w:ilvl="3" w:tplc="F07E9566" w:tentative="1">
      <w:start w:val="1"/>
      <w:numFmt w:val="bullet"/>
      <w:lvlText w:val=""/>
      <w:lvlJc w:val="left"/>
      <w:pPr>
        <w:ind w:left="2520" w:hanging="360"/>
      </w:pPr>
      <w:rPr>
        <w:rFonts w:ascii="Symbol" w:hAnsi="Symbol" w:hint="default"/>
      </w:rPr>
    </w:lvl>
    <w:lvl w:ilvl="4" w:tplc="F5B8178C" w:tentative="1">
      <w:start w:val="1"/>
      <w:numFmt w:val="bullet"/>
      <w:lvlText w:val="o"/>
      <w:lvlJc w:val="left"/>
      <w:pPr>
        <w:ind w:left="3240" w:hanging="360"/>
      </w:pPr>
      <w:rPr>
        <w:rFonts w:ascii="Courier New" w:hAnsi="Courier New" w:cs="Courier New" w:hint="default"/>
      </w:rPr>
    </w:lvl>
    <w:lvl w:ilvl="5" w:tplc="A066E958" w:tentative="1">
      <w:start w:val="1"/>
      <w:numFmt w:val="bullet"/>
      <w:lvlText w:val=""/>
      <w:lvlJc w:val="left"/>
      <w:pPr>
        <w:ind w:left="3960" w:hanging="360"/>
      </w:pPr>
      <w:rPr>
        <w:rFonts w:ascii="Wingdings" w:hAnsi="Wingdings" w:hint="default"/>
      </w:rPr>
    </w:lvl>
    <w:lvl w:ilvl="6" w:tplc="90907530" w:tentative="1">
      <w:start w:val="1"/>
      <w:numFmt w:val="bullet"/>
      <w:lvlText w:val=""/>
      <w:lvlJc w:val="left"/>
      <w:pPr>
        <w:ind w:left="4680" w:hanging="360"/>
      </w:pPr>
      <w:rPr>
        <w:rFonts w:ascii="Symbol" w:hAnsi="Symbol" w:hint="default"/>
      </w:rPr>
    </w:lvl>
    <w:lvl w:ilvl="7" w:tplc="479A3290" w:tentative="1">
      <w:start w:val="1"/>
      <w:numFmt w:val="bullet"/>
      <w:lvlText w:val="o"/>
      <w:lvlJc w:val="left"/>
      <w:pPr>
        <w:ind w:left="5400" w:hanging="360"/>
      </w:pPr>
      <w:rPr>
        <w:rFonts w:ascii="Courier New" w:hAnsi="Courier New" w:cs="Courier New" w:hint="default"/>
      </w:rPr>
    </w:lvl>
    <w:lvl w:ilvl="8" w:tplc="3A706EF0" w:tentative="1">
      <w:start w:val="1"/>
      <w:numFmt w:val="bullet"/>
      <w:lvlText w:val=""/>
      <w:lvlJc w:val="left"/>
      <w:pPr>
        <w:ind w:left="6120" w:hanging="360"/>
      </w:pPr>
      <w:rPr>
        <w:rFonts w:ascii="Wingdings" w:hAnsi="Wingdings" w:hint="default"/>
      </w:rPr>
    </w:lvl>
  </w:abstractNum>
  <w:abstractNum w:abstractNumId="23" w15:restartNumberingAfterBreak="0">
    <w:nsid w:val="43F43D50"/>
    <w:multiLevelType w:val="hybridMultilevel"/>
    <w:tmpl w:val="7938BCBE"/>
    <w:lvl w:ilvl="0" w:tplc="8BB89DAE">
      <w:numFmt w:val="bullet"/>
      <w:lvlText w:val="-"/>
      <w:lvlJc w:val="left"/>
      <w:pPr>
        <w:ind w:left="720" w:hanging="360"/>
      </w:pPr>
      <w:rPr>
        <w:rFonts w:ascii="Calibri" w:eastAsiaTheme="minorHAnsi" w:hAnsi="Calibri" w:cstheme="minorBidi" w:hint="default"/>
      </w:rPr>
    </w:lvl>
    <w:lvl w:ilvl="1" w:tplc="A4A4B8D4" w:tentative="1">
      <w:start w:val="1"/>
      <w:numFmt w:val="bullet"/>
      <w:lvlText w:val="o"/>
      <w:lvlJc w:val="left"/>
      <w:pPr>
        <w:ind w:left="1440" w:hanging="360"/>
      </w:pPr>
      <w:rPr>
        <w:rFonts w:ascii="Courier New" w:hAnsi="Courier New" w:cs="Courier New" w:hint="default"/>
      </w:rPr>
    </w:lvl>
    <w:lvl w:ilvl="2" w:tplc="2B3E54CA" w:tentative="1">
      <w:start w:val="1"/>
      <w:numFmt w:val="bullet"/>
      <w:lvlText w:val=""/>
      <w:lvlJc w:val="left"/>
      <w:pPr>
        <w:ind w:left="2160" w:hanging="360"/>
      </w:pPr>
      <w:rPr>
        <w:rFonts w:ascii="Wingdings" w:hAnsi="Wingdings" w:hint="default"/>
      </w:rPr>
    </w:lvl>
    <w:lvl w:ilvl="3" w:tplc="512A0B4E" w:tentative="1">
      <w:start w:val="1"/>
      <w:numFmt w:val="bullet"/>
      <w:lvlText w:val=""/>
      <w:lvlJc w:val="left"/>
      <w:pPr>
        <w:ind w:left="2880" w:hanging="360"/>
      </w:pPr>
      <w:rPr>
        <w:rFonts w:ascii="Symbol" w:hAnsi="Symbol" w:hint="default"/>
      </w:rPr>
    </w:lvl>
    <w:lvl w:ilvl="4" w:tplc="FCE2EEA8" w:tentative="1">
      <w:start w:val="1"/>
      <w:numFmt w:val="bullet"/>
      <w:lvlText w:val="o"/>
      <w:lvlJc w:val="left"/>
      <w:pPr>
        <w:ind w:left="3600" w:hanging="360"/>
      </w:pPr>
      <w:rPr>
        <w:rFonts w:ascii="Courier New" w:hAnsi="Courier New" w:cs="Courier New" w:hint="default"/>
      </w:rPr>
    </w:lvl>
    <w:lvl w:ilvl="5" w:tplc="4D0C4CD2" w:tentative="1">
      <w:start w:val="1"/>
      <w:numFmt w:val="bullet"/>
      <w:lvlText w:val=""/>
      <w:lvlJc w:val="left"/>
      <w:pPr>
        <w:ind w:left="4320" w:hanging="360"/>
      </w:pPr>
      <w:rPr>
        <w:rFonts w:ascii="Wingdings" w:hAnsi="Wingdings" w:hint="default"/>
      </w:rPr>
    </w:lvl>
    <w:lvl w:ilvl="6" w:tplc="A5B496E6" w:tentative="1">
      <w:start w:val="1"/>
      <w:numFmt w:val="bullet"/>
      <w:lvlText w:val=""/>
      <w:lvlJc w:val="left"/>
      <w:pPr>
        <w:ind w:left="5040" w:hanging="360"/>
      </w:pPr>
      <w:rPr>
        <w:rFonts w:ascii="Symbol" w:hAnsi="Symbol" w:hint="default"/>
      </w:rPr>
    </w:lvl>
    <w:lvl w:ilvl="7" w:tplc="5CD492F8" w:tentative="1">
      <w:start w:val="1"/>
      <w:numFmt w:val="bullet"/>
      <w:lvlText w:val="o"/>
      <w:lvlJc w:val="left"/>
      <w:pPr>
        <w:ind w:left="5760" w:hanging="360"/>
      </w:pPr>
      <w:rPr>
        <w:rFonts w:ascii="Courier New" w:hAnsi="Courier New" w:cs="Courier New" w:hint="default"/>
      </w:rPr>
    </w:lvl>
    <w:lvl w:ilvl="8" w:tplc="BD90F7CC" w:tentative="1">
      <w:start w:val="1"/>
      <w:numFmt w:val="bullet"/>
      <w:lvlText w:val=""/>
      <w:lvlJc w:val="left"/>
      <w:pPr>
        <w:ind w:left="6480" w:hanging="360"/>
      </w:pPr>
      <w:rPr>
        <w:rFonts w:ascii="Wingdings" w:hAnsi="Wingdings" w:hint="default"/>
      </w:rPr>
    </w:lvl>
  </w:abstractNum>
  <w:abstractNum w:abstractNumId="2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5" w15:restartNumberingAfterBreak="0">
    <w:nsid w:val="54AD33EB"/>
    <w:multiLevelType w:val="hybridMultilevel"/>
    <w:tmpl w:val="A31E6108"/>
    <w:lvl w:ilvl="0" w:tplc="4EAEFF6C">
      <w:numFmt w:val="bullet"/>
      <w:lvlText w:val="-"/>
      <w:lvlJc w:val="left"/>
      <w:pPr>
        <w:ind w:left="720" w:hanging="360"/>
      </w:pPr>
      <w:rPr>
        <w:rFonts w:ascii="Arial" w:eastAsia="Calibri" w:hAnsi="Arial" w:cs="Arial" w:hint="default"/>
      </w:rPr>
    </w:lvl>
    <w:lvl w:ilvl="1" w:tplc="85F0ABC6" w:tentative="1">
      <w:start w:val="1"/>
      <w:numFmt w:val="bullet"/>
      <w:lvlText w:val="o"/>
      <w:lvlJc w:val="left"/>
      <w:pPr>
        <w:ind w:left="1440" w:hanging="360"/>
      </w:pPr>
      <w:rPr>
        <w:rFonts w:ascii="Courier New" w:hAnsi="Courier New" w:cs="Courier New" w:hint="default"/>
      </w:rPr>
    </w:lvl>
    <w:lvl w:ilvl="2" w:tplc="6B8C5A86" w:tentative="1">
      <w:start w:val="1"/>
      <w:numFmt w:val="bullet"/>
      <w:lvlText w:val=""/>
      <w:lvlJc w:val="left"/>
      <w:pPr>
        <w:ind w:left="2160" w:hanging="360"/>
      </w:pPr>
      <w:rPr>
        <w:rFonts w:ascii="Wingdings" w:hAnsi="Wingdings" w:hint="default"/>
      </w:rPr>
    </w:lvl>
    <w:lvl w:ilvl="3" w:tplc="3D401DBA" w:tentative="1">
      <w:start w:val="1"/>
      <w:numFmt w:val="bullet"/>
      <w:lvlText w:val=""/>
      <w:lvlJc w:val="left"/>
      <w:pPr>
        <w:ind w:left="2880" w:hanging="360"/>
      </w:pPr>
      <w:rPr>
        <w:rFonts w:ascii="Symbol" w:hAnsi="Symbol" w:hint="default"/>
      </w:rPr>
    </w:lvl>
    <w:lvl w:ilvl="4" w:tplc="D380779E" w:tentative="1">
      <w:start w:val="1"/>
      <w:numFmt w:val="bullet"/>
      <w:lvlText w:val="o"/>
      <w:lvlJc w:val="left"/>
      <w:pPr>
        <w:ind w:left="3600" w:hanging="360"/>
      </w:pPr>
      <w:rPr>
        <w:rFonts w:ascii="Courier New" w:hAnsi="Courier New" w:cs="Courier New" w:hint="default"/>
      </w:rPr>
    </w:lvl>
    <w:lvl w:ilvl="5" w:tplc="4EA69FAE" w:tentative="1">
      <w:start w:val="1"/>
      <w:numFmt w:val="bullet"/>
      <w:lvlText w:val=""/>
      <w:lvlJc w:val="left"/>
      <w:pPr>
        <w:ind w:left="4320" w:hanging="360"/>
      </w:pPr>
      <w:rPr>
        <w:rFonts w:ascii="Wingdings" w:hAnsi="Wingdings" w:hint="default"/>
      </w:rPr>
    </w:lvl>
    <w:lvl w:ilvl="6" w:tplc="81529838" w:tentative="1">
      <w:start w:val="1"/>
      <w:numFmt w:val="bullet"/>
      <w:lvlText w:val=""/>
      <w:lvlJc w:val="left"/>
      <w:pPr>
        <w:ind w:left="5040" w:hanging="360"/>
      </w:pPr>
      <w:rPr>
        <w:rFonts w:ascii="Symbol" w:hAnsi="Symbol" w:hint="default"/>
      </w:rPr>
    </w:lvl>
    <w:lvl w:ilvl="7" w:tplc="2C4E12FE" w:tentative="1">
      <w:start w:val="1"/>
      <w:numFmt w:val="bullet"/>
      <w:lvlText w:val="o"/>
      <w:lvlJc w:val="left"/>
      <w:pPr>
        <w:ind w:left="5760" w:hanging="360"/>
      </w:pPr>
      <w:rPr>
        <w:rFonts w:ascii="Courier New" w:hAnsi="Courier New" w:cs="Courier New" w:hint="default"/>
      </w:rPr>
    </w:lvl>
    <w:lvl w:ilvl="8" w:tplc="1CE4CCA6" w:tentative="1">
      <w:start w:val="1"/>
      <w:numFmt w:val="bullet"/>
      <w:lvlText w:val=""/>
      <w:lvlJc w:val="left"/>
      <w:pPr>
        <w:ind w:left="6480" w:hanging="360"/>
      </w:pPr>
      <w:rPr>
        <w:rFonts w:ascii="Wingdings" w:hAnsi="Wingdings" w:hint="default"/>
      </w:rPr>
    </w:lvl>
  </w:abstractNum>
  <w:abstractNum w:abstractNumId="26" w15:restartNumberingAfterBreak="0">
    <w:nsid w:val="558D412F"/>
    <w:multiLevelType w:val="hybridMultilevel"/>
    <w:tmpl w:val="0118360E"/>
    <w:lvl w:ilvl="0" w:tplc="ECC84DFA">
      <w:start w:val="1"/>
      <w:numFmt w:val="bullet"/>
      <w:lvlText w:val=""/>
      <w:lvlJc w:val="left"/>
      <w:pPr>
        <w:ind w:left="360" w:hanging="360"/>
      </w:pPr>
      <w:rPr>
        <w:rFonts w:ascii="Wingdings" w:hAnsi="Wingdings" w:hint="default"/>
      </w:rPr>
    </w:lvl>
    <w:lvl w:ilvl="1" w:tplc="FAFC3012" w:tentative="1">
      <w:start w:val="1"/>
      <w:numFmt w:val="bullet"/>
      <w:lvlText w:val="o"/>
      <w:lvlJc w:val="left"/>
      <w:pPr>
        <w:ind w:left="1080" w:hanging="360"/>
      </w:pPr>
      <w:rPr>
        <w:rFonts w:ascii="Courier New" w:hAnsi="Courier New" w:cs="Courier New" w:hint="default"/>
      </w:rPr>
    </w:lvl>
    <w:lvl w:ilvl="2" w:tplc="A2CE321E" w:tentative="1">
      <w:start w:val="1"/>
      <w:numFmt w:val="bullet"/>
      <w:lvlText w:val=""/>
      <w:lvlJc w:val="left"/>
      <w:pPr>
        <w:ind w:left="1800" w:hanging="360"/>
      </w:pPr>
      <w:rPr>
        <w:rFonts w:ascii="Wingdings" w:hAnsi="Wingdings" w:hint="default"/>
      </w:rPr>
    </w:lvl>
    <w:lvl w:ilvl="3" w:tplc="F07E9566" w:tentative="1">
      <w:start w:val="1"/>
      <w:numFmt w:val="bullet"/>
      <w:lvlText w:val=""/>
      <w:lvlJc w:val="left"/>
      <w:pPr>
        <w:ind w:left="2520" w:hanging="360"/>
      </w:pPr>
      <w:rPr>
        <w:rFonts w:ascii="Symbol" w:hAnsi="Symbol" w:hint="default"/>
      </w:rPr>
    </w:lvl>
    <w:lvl w:ilvl="4" w:tplc="F5B8178C" w:tentative="1">
      <w:start w:val="1"/>
      <w:numFmt w:val="bullet"/>
      <w:lvlText w:val="o"/>
      <w:lvlJc w:val="left"/>
      <w:pPr>
        <w:ind w:left="3240" w:hanging="360"/>
      </w:pPr>
      <w:rPr>
        <w:rFonts w:ascii="Courier New" w:hAnsi="Courier New" w:cs="Courier New" w:hint="default"/>
      </w:rPr>
    </w:lvl>
    <w:lvl w:ilvl="5" w:tplc="A066E958" w:tentative="1">
      <w:start w:val="1"/>
      <w:numFmt w:val="bullet"/>
      <w:lvlText w:val=""/>
      <w:lvlJc w:val="left"/>
      <w:pPr>
        <w:ind w:left="3960" w:hanging="360"/>
      </w:pPr>
      <w:rPr>
        <w:rFonts w:ascii="Wingdings" w:hAnsi="Wingdings" w:hint="default"/>
      </w:rPr>
    </w:lvl>
    <w:lvl w:ilvl="6" w:tplc="90907530" w:tentative="1">
      <w:start w:val="1"/>
      <w:numFmt w:val="bullet"/>
      <w:lvlText w:val=""/>
      <w:lvlJc w:val="left"/>
      <w:pPr>
        <w:ind w:left="4680" w:hanging="360"/>
      </w:pPr>
      <w:rPr>
        <w:rFonts w:ascii="Symbol" w:hAnsi="Symbol" w:hint="default"/>
      </w:rPr>
    </w:lvl>
    <w:lvl w:ilvl="7" w:tplc="479A3290" w:tentative="1">
      <w:start w:val="1"/>
      <w:numFmt w:val="bullet"/>
      <w:lvlText w:val="o"/>
      <w:lvlJc w:val="left"/>
      <w:pPr>
        <w:ind w:left="5400" w:hanging="360"/>
      </w:pPr>
      <w:rPr>
        <w:rFonts w:ascii="Courier New" w:hAnsi="Courier New" w:cs="Courier New" w:hint="default"/>
      </w:rPr>
    </w:lvl>
    <w:lvl w:ilvl="8" w:tplc="3A706EF0" w:tentative="1">
      <w:start w:val="1"/>
      <w:numFmt w:val="bullet"/>
      <w:lvlText w:val=""/>
      <w:lvlJc w:val="left"/>
      <w:pPr>
        <w:ind w:left="6120" w:hanging="360"/>
      </w:pPr>
      <w:rPr>
        <w:rFonts w:ascii="Wingdings" w:hAnsi="Wingdings" w:hint="default"/>
      </w:rPr>
    </w:lvl>
  </w:abstractNum>
  <w:abstractNum w:abstractNumId="27" w15:restartNumberingAfterBreak="0">
    <w:nsid w:val="626202CD"/>
    <w:multiLevelType w:val="hybridMultilevel"/>
    <w:tmpl w:val="47DE992E"/>
    <w:lvl w:ilvl="0" w:tplc="8E78105E">
      <w:start w:val="1"/>
      <w:numFmt w:val="bullet"/>
      <w:lvlText w:val=""/>
      <w:lvlJc w:val="left"/>
      <w:pPr>
        <w:ind w:left="360" w:hanging="360"/>
      </w:pPr>
      <w:rPr>
        <w:rFonts w:ascii="Wingdings" w:hAnsi="Wingdings" w:hint="default"/>
      </w:rPr>
    </w:lvl>
    <w:lvl w:ilvl="1" w:tplc="279260CE" w:tentative="1">
      <w:start w:val="1"/>
      <w:numFmt w:val="bullet"/>
      <w:lvlText w:val="o"/>
      <w:lvlJc w:val="left"/>
      <w:pPr>
        <w:ind w:left="1080" w:hanging="360"/>
      </w:pPr>
      <w:rPr>
        <w:rFonts w:ascii="Courier New" w:hAnsi="Courier New" w:cs="Courier New" w:hint="default"/>
      </w:rPr>
    </w:lvl>
    <w:lvl w:ilvl="2" w:tplc="34AC1242" w:tentative="1">
      <w:start w:val="1"/>
      <w:numFmt w:val="bullet"/>
      <w:lvlText w:val=""/>
      <w:lvlJc w:val="left"/>
      <w:pPr>
        <w:ind w:left="1800" w:hanging="360"/>
      </w:pPr>
      <w:rPr>
        <w:rFonts w:ascii="Wingdings" w:hAnsi="Wingdings" w:hint="default"/>
      </w:rPr>
    </w:lvl>
    <w:lvl w:ilvl="3" w:tplc="C6A43AA4" w:tentative="1">
      <w:start w:val="1"/>
      <w:numFmt w:val="bullet"/>
      <w:lvlText w:val=""/>
      <w:lvlJc w:val="left"/>
      <w:pPr>
        <w:ind w:left="2520" w:hanging="360"/>
      </w:pPr>
      <w:rPr>
        <w:rFonts w:ascii="Symbol" w:hAnsi="Symbol" w:hint="default"/>
      </w:rPr>
    </w:lvl>
    <w:lvl w:ilvl="4" w:tplc="EDF8067E" w:tentative="1">
      <w:start w:val="1"/>
      <w:numFmt w:val="bullet"/>
      <w:lvlText w:val="o"/>
      <w:lvlJc w:val="left"/>
      <w:pPr>
        <w:ind w:left="3240" w:hanging="360"/>
      </w:pPr>
      <w:rPr>
        <w:rFonts w:ascii="Courier New" w:hAnsi="Courier New" w:cs="Courier New" w:hint="default"/>
      </w:rPr>
    </w:lvl>
    <w:lvl w:ilvl="5" w:tplc="92EA8CDA" w:tentative="1">
      <w:start w:val="1"/>
      <w:numFmt w:val="bullet"/>
      <w:lvlText w:val=""/>
      <w:lvlJc w:val="left"/>
      <w:pPr>
        <w:ind w:left="3960" w:hanging="360"/>
      </w:pPr>
      <w:rPr>
        <w:rFonts w:ascii="Wingdings" w:hAnsi="Wingdings" w:hint="default"/>
      </w:rPr>
    </w:lvl>
    <w:lvl w:ilvl="6" w:tplc="0868E9B8" w:tentative="1">
      <w:start w:val="1"/>
      <w:numFmt w:val="bullet"/>
      <w:lvlText w:val=""/>
      <w:lvlJc w:val="left"/>
      <w:pPr>
        <w:ind w:left="4680" w:hanging="360"/>
      </w:pPr>
      <w:rPr>
        <w:rFonts w:ascii="Symbol" w:hAnsi="Symbol" w:hint="default"/>
      </w:rPr>
    </w:lvl>
    <w:lvl w:ilvl="7" w:tplc="F89E8DFE" w:tentative="1">
      <w:start w:val="1"/>
      <w:numFmt w:val="bullet"/>
      <w:lvlText w:val="o"/>
      <w:lvlJc w:val="left"/>
      <w:pPr>
        <w:ind w:left="5400" w:hanging="360"/>
      </w:pPr>
      <w:rPr>
        <w:rFonts w:ascii="Courier New" w:hAnsi="Courier New" w:cs="Courier New" w:hint="default"/>
      </w:rPr>
    </w:lvl>
    <w:lvl w:ilvl="8" w:tplc="BADE63F2" w:tentative="1">
      <w:start w:val="1"/>
      <w:numFmt w:val="bullet"/>
      <w:lvlText w:val=""/>
      <w:lvlJc w:val="left"/>
      <w:pPr>
        <w:ind w:left="6120" w:hanging="360"/>
      </w:pPr>
      <w:rPr>
        <w:rFonts w:ascii="Wingdings" w:hAnsi="Wingdings" w:hint="default"/>
      </w:rPr>
    </w:lvl>
  </w:abstractNum>
  <w:abstractNum w:abstractNumId="28" w15:restartNumberingAfterBreak="0">
    <w:nsid w:val="67A44A6F"/>
    <w:multiLevelType w:val="hybridMultilevel"/>
    <w:tmpl w:val="6CCC6D0A"/>
    <w:lvl w:ilvl="0" w:tplc="08090001">
      <w:start w:val="1"/>
      <w:numFmt w:val="bullet"/>
      <w:lvlText w:val=""/>
      <w:lvlJc w:val="left"/>
      <w:pPr>
        <w:ind w:left="360" w:hanging="360"/>
      </w:pPr>
      <w:rPr>
        <w:rFonts w:ascii="Symbol" w:hAnsi="Symbol" w:hint="default"/>
      </w:rPr>
    </w:lvl>
    <w:lvl w:ilvl="1" w:tplc="BBECD366">
      <w:start w:val="1"/>
      <w:numFmt w:val="bullet"/>
      <w:lvlText w:val=""/>
      <w:lvlJc w:val="left"/>
      <w:pPr>
        <w:ind w:left="1080" w:hanging="360"/>
      </w:pPr>
      <w:rPr>
        <w:rFonts w:ascii="Wingdings" w:hAnsi="Wingdings" w:hint="default"/>
      </w:rPr>
    </w:lvl>
    <w:lvl w:ilvl="2" w:tplc="96B4DCD8" w:tentative="1">
      <w:start w:val="1"/>
      <w:numFmt w:val="bullet"/>
      <w:lvlText w:val=""/>
      <w:lvlJc w:val="left"/>
      <w:pPr>
        <w:ind w:left="1800" w:hanging="360"/>
      </w:pPr>
      <w:rPr>
        <w:rFonts w:ascii="Wingdings" w:hAnsi="Wingdings" w:hint="default"/>
      </w:rPr>
    </w:lvl>
    <w:lvl w:ilvl="3" w:tplc="F26A7912" w:tentative="1">
      <w:start w:val="1"/>
      <w:numFmt w:val="bullet"/>
      <w:lvlText w:val=""/>
      <w:lvlJc w:val="left"/>
      <w:pPr>
        <w:ind w:left="2520" w:hanging="360"/>
      </w:pPr>
      <w:rPr>
        <w:rFonts w:ascii="Symbol" w:hAnsi="Symbol" w:hint="default"/>
      </w:rPr>
    </w:lvl>
    <w:lvl w:ilvl="4" w:tplc="338031C6" w:tentative="1">
      <w:start w:val="1"/>
      <w:numFmt w:val="bullet"/>
      <w:lvlText w:val="o"/>
      <w:lvlJc w:val="left"/>
      <w:pPr>
        <w:ind w:left="3240" w:hanging="360"/>
      </w:pPr>
      <w:rPr>
        <w:rFonts w:ascii="Courier New" w:hAnsi="Courier New" w:cs="Courier New" w:hint="default"/>
      </w:rPr>
    </w:lvl>
    <w:lvl w:ilvl="5" w:tplc="C98CBC50" w:tentative="1">
      <w:start w:val="1"/>
      <w:numFmt w:val="bullet"/>
      <w:lvlText w:val=""/>
      <w:lvlJc w:val="left"/>
      <w:pPr>
        <w:ind w:left="3960" w:hanging="360"/>
      </w:pPr>
      <w:rPr>
        <w:rFonts w:ascii="Wingdings" w:hAnsi="Wingdings" w:hint="default"/>
      </w:rPr>
    </w:lvl>
    <w:lvl w:ilvl="6" w:tplc="E3D64786" w:tentative="1">
      <w:start w:val="1"/>
      <w:numFmt w:val="bullet"/>
      <w:lvlText w:val=""/>
      <w:lvlJc w:val="left"/>
      <w:pPr>
        <w:ind w:left="4680" w:hanging="360"/>
      </w:pPr>
      <w:rPr>
        <w:rFonts w:ascii="Symbol" w:hAnsi="Symbol" w:hint="default"/>
      </w:rPr>
    </w:lvl>
    <w:lvl w:ilvl="7" w:tplc="57F25ED0" w:tentative="1">
      <w:start w:val="1"/>
      <w:numFmt w:val="bullet"/>
      <w:lvlText w:val="o"/>
      <w:lvlJc w:val="left"/>
      <w:pPr>
        <w:ind w:left="5400" w:hanging="360"/>
      </w:pPr>
      <w:rPr>
        <w:rFonts w:ascii="Courier New" w:hAnsi="Courier New" w:cs="Courier New" w:hint="default"/>
      </w:rPr>
    </w:lvl>
    <w:lvl w:ilvl="8" w:tplc="ADE4B6AC"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24"/>
  </w:num>
  <w:num w:numId="4">
    <w:abstractNumId w:val="9"/>
  </w:num>
  <w:num w:numId="5">
    <w:abstractNumId w:val="0"/>
  </w:num>
  <w:num w:numId="6">
    <w:abstractNumId w:val="4"/>
  </w:num>
  <w:num w:numId="7">
    <w:abstractNumId w:val="1"/>
  </w:num>
  <w:num w:numId="8">
    <w:abstractNumId w:val="2"/>
  </w:num>
  <w:num w:numId="9">
    <w:abstractNumId w:val="3"/>
  </w:num>
  <w:num w:numId="10">
    <w:abstractNumId w:val="20"/>
  </w:num>
  <w:num w:numId="11">
    <w:abstractNumId w:val="13"/>
  </w:num>
  <w:num w:numId="12">
    <w:abstractNumId w:val="27"/>
  </w:num>
  <w:num w:numId="13">
    <w:abstractNumId w:val="19"/>
  </w:num>
  <w:num w:numId="14">
    <w:abstractNumId w:val="26"/>
  </w:num>
  <w:num w:numId="15">
    <w:abstractNumId w:val="11"/>
  </w:num>
  <w:num w:numId="16">
    <w:abstractNumId w:val="6"/>
  </w:num>
  <w:num w:numId="17">
    <w:abstractNumId w:val="10"/>
  </w:num>
  <w:num w:numId="18">
    <w:abstractNumId w:val="18"/>
  </w:num>
  <w:num w:numId="19">
    <w:abstractNumId w:val="22"/>
  </w:num>
  <w:num w:numId="20">
    <w:abstractNumId w:val="7"/>
  </w:num>
  <w:num w:numId="21">
    <w:abstractNumId w:val="28"/>
  </w:num>
  <w:num w:numId="22">
    <w:abstractNumId w:val="16"/>
  </w:num>
  <w:num w:numId="23">
    <w:abstractNumId w:val="12"/>
  </w:num>
  <w:num w:numId="24">
    <w:abstractNumId w:val="5"/>
  </w:num>
  <w:num w:numId="25">
    <w:abstractNumId w:val="21"/>
  </w:num>
  <w:num w:numId="26">
    <w:abstractNumId w:val="15"/>
  </w:num>
  <w:num w:numId="27">
    <w:abstractNumId w:val="25"/>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79"/>
    <w:rsid w:val="000643FA"/>
    <w:rsid w:val="00172FAC"/>
    <w:rsid w:val="001A7C9A"/>
    <w:rsid w:val="001E6028"/>
    <w:rsid w:val="002C3A5A"/>
    <w:rsid w:val="002F7C5D"/>
    <w:rsid w:val="00345933"/>
    <w:rsid w:val="003C27AE"/>
    <w:rsid w:val="003E2779"/>
    <w:rsid w:val="004645FE"/>
    <w:rsid w:val="004828F8"/>
    <w:rsid w:val="0052652B"/>
    <w:rsid w:val="006D5146"/>
    <w:rsid w:val="00765180"/>
    <w:rsid w:val="00822DC6"/>
    <w:rsid w:val="008E009D"/>
    <w:rsid w:val="00A95C37"/>
    <w:rsid w:val="00AB1F41"/>
    <w:rsid w:val="00B87DC6"/>
    <w:rsid w:val="00BC3A28"/>
    <w:rsid w:val="00C735F2"/>
    <w:rsid w:val="00CC61A7"/>
    <w:rsid w:val="00D80C36"/>
    <w:rsid w:val="00DA552C"/>
    <w:rsid w:val="00DF50A5"/>
    <w:rsid w:val="00E7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73047-1CF5-4759-8BB1-075BB2DF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25D8A"/>
    <w:rPr>
      <w:color w:val="0563C1" w:themeColor="hyperlink"/>
      <w:u w:val="single"/>
    </w:rPr>
  </w:style>
  <w:style w:type="table" w:styleId="TableGrid">
    <w:name w:val="Table Grid"/>
    <w:basedOn w:val="TableNormal"/>
    <w:uiPriority w:val="59"/>
    <w:rsid w:val="0012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87DC6"/>
    <w:pPr>
      <w:spacing w:after="0" w:line="240" w:lineRule="auto"/>
      <w:ind w:left="0" w:firstLine="0"/>
    </w:pPr>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rsid w:val="00B87DC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lesburyaerospaceE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B99D-5AA4-4E82-9A0C-2AE5D543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17</Pages>
  <Words>5275</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34</cp:revision>
  <dcterms:created xsi:type="dcterms:W3CDTF">2014-12-03T08:17:00Z</dcterms:created>
  <dcterms:modified xsi:type="dcterms:W3CDTF">2017-03-23T14:37:00Z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Key Initiatives Update</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28 March 2017</vt:lpwstr>
  </property>
</Properties>
</file>